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EA179" w14:textId="77777777" w:rsidR="007E0B7F" w:rsidRPr="007E0B7F" w:rsidRDefault="007E0B7F" w:rsidP="007E0B7F">
      <w:pPr>
        <w:shd w:val="clear" w:color="auto" w:fill="FFFFFF"/>
        <w:spacing w:after="100" w:afterAutospacing="1" w:line="240" w:lineRule="auto"/>
        <w:outlineLvl w:val="0"/>
        <w:rPr>
          <w:rFonts w:ascii="Georgia" w:eastAsia="Times New Roman" w:hAnsi="Georgia" w:cs="Helvetica"/>
          <w:color w:val="1E1E1F"/>
          <w:kern w:val="36"/>
          <w:sz w:val="48"/>
          <w:szCs w:val="48"/>
          <w:lang w:eastAsia="el-GR"/>
          <w14:ligatures w14:val="none"/>
        </w:rPr>
      </w:pPr>
      <w:r w:rsidRPr="007E0B7F">
        <w:rPr>
          <w:rFonts w:ascii="Georgia" w:eastAsia="Times New Roman" w:hAnsi="Georgia" w:cs="Helvetica"/>
          <w:color w:val="1E1E1F"/>
          <w:kern w:val="36"/>
          <w:sz w:val="48"/>
          <w:szCs w:val="48"/>
          <w:lang w:eastAsia="el-GR"/>
          <w14:ligatures w14:val="none"/>
        </w:rPr>
        <w:t>Περιβαλλοντική πολιτική: γενικές αρχές και βασικό πλαίσιο</w:t>
      </w:r>
    </w:p>
    <w:p w14:paraId="67DCB85C" w14:textId="77777777" w:rsidR="007E0B7F" w:rsidRPr="007E0B7F" w:rsidRDefault="007E0B7F" w:rsidP="007E0B7F">
      <w:pPr>
        <w:pBdr>
          <w:top w:val="single" w:sz="6" w:space="0" w:color="D1D3D4"/>
          <w:left w:val="single" w:sz="6" w:space="0" w:color="D1D3D4"/>
          <w:bottom w:val="single" w:sz="6" w:space="0" w:color="D1D3D4"/>
          <w:right w:val="single" w:sz="6" w:space="0" w:color="D1D3D4"/>
        </w:pBd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 xml:space="preserve">Η Ευρώπη αντιμετωπίζει σύνθετα περιβαλλοντικά ζητήματα, από την κλιματική αλλαγή και την απώλεια της βιοποικιλότητας έως την εξάντληση των πόρων και τη ρύπανση. Για την αντιμετώπιση αυτών των προκλήσεων, η ΕΕ έχει θέσει σε εφαρμογή μια ευρεία δέσμη περιβαλλοντικών πολιτικών που έχουν μετατοπίσει τις περιβαλλοντικές ανησυχίες στην πρώτη γραμμή του θεματολογίου πολιτικής της ΕΕ. Οι τέσσερις βασικές αρχές της ευρωπαϊκής περιβαλλοντικής πολιτικής είναι αυτές της προφύλαξης, της πρόληψης, της επανόρθωσης της ρύπανσης στην πηγή και του «ο </w:t>
      </w:r>
      <w:proofErr w:type="spellStart"/>
      <w:r w:rsidRPr="007E0B7F">
        <w:rPr>
          <w:rFonts w:ascii="Helvetica" w:eastAsia="Times New Roman" w:hAnsi="Helvetica" w:cs="Helvetica"/>
          <w:color w:val="1E1E1F"/>
          <w:kern w:val="0"/>
          <w:sz w:val="21"/>
          <w:szCs w:val="21"/>
          <w:lang w:eastAsia="el-GR"/>
          <w14:ligatures w14:val="none"/>
        </w:rPr>
        <w:t>ρυπαίνων</w:t>
      </w:r>
      <w:proofErr w:type="spellEnd"/>
      <w:r w:rsidRPr="007E0B7F">
        <w:rPr>
          <w:rFonts w:ascii="Helvetica" w:eastAsia="Times New Roman" w:hAnsi="Helvetica" w:cs="Helvetica"/>
          <w:color w:val="1E1E1F"/>
          <w:kern w:val="0"/>
          <w:sz w:val="21"/>
          <w:szCs w:val="21"/>
          <w:lang w:eastAsia="el-GR"/>
          <w14:ligatures w14:val="none"/>
        </w:rPr>
        <w:t xml:space="preserve"> πληρώνει».</w:t>
      </w:r>
    </w:p>
    <w:p w14:paraId="19999736" w14:textId="77777777" w:rsidR="007E0B7F" w:rsidRPr="007E0B7F" w:rsidRDefault="007E0B7F" w:rsidP="007E0B7F">
      <w:pPr>
        <w:shd w:val="clear" w:color="auto" w:fill="FFFFFF"/>
        <w:spacing w:after="100" w:afterAutospacing="1" w:line="288" w:lineRule="atLeast"/>
        <w:outlineLvl w:val="1"/>
        <w:rPr>
          <w:rFonts w:ascii="Georgia" w:eastAsia="Times New Roman" w:hAnsi="Georgia" w:cs="Helvetica"/>
          <w:color w:val="1E1E1F"/>
          <w:kern w:val="0"/>
          <w:sz w:val="36"/>
          <w:szCs w:val="36"/>
          <w:lang w:eastAsia="el-GR"/>
          <w14:ligatures w14:val="none"/>
        </w:rPr>
      </w:pPr>
      <w:r w:rsidRPr="007E0B7F">
        <w:rPr>
          <w:rFonts w:ascii="Georgia" w:eastAsia="Times New Roman" w:hAnsi="Georgia" w:cs="Helvetica"/>
          <w:color w:val="1E1E1F"/>
          <w:kern w:val="0"/>
          <w:sz w:val="36"/>
          <w:szCs w:val="36"/>
          <w:lang w:eastAsia="el-GR"/>
          <w14:ligatures w14:val="none"/>
        </w:rPr>
        <w:t>Νομική βάση</w:t>
      </w:r>
    </w:p>
    <w:p w14:paraId="344ABAC6"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Άρθρα 11 και 191 έως 193 της </w:t>
      </w:r>
      <w:hyperlink r:id="rId5" w:history="1">
        <w:r w:rsidRPr="007E0B7F">
          <w:rPr>
            <w:rFonts w:ascii="Helvetica" w:eastAsia="Times New Roman" w:hAnsi="Helvetica" w:cs="Helvetica"/>
            <w:color w:val="3C77BD"/>
            <w:kern w:val="0"/>
            <w:sz w:val="21"/>
            <w:szCs w:val="21"/>
            <w:u w:val="single"/>
            <w:lang w:eastAsia="el-GR"/>
            <w14:ligatures w14:val="none"/>
          </w:rPr>
          <w:t>Συνθήκης για τη λειτουργία της Ευρωπαϊκής Ένωσης</w:t>
        </w:r>
      </w:hyperlink>
      <w:r w:rsidRPr="007E0B7F">
        <w:rPr>
          <w:rFonts w:ascii="Helvetica" w:eastAsia="Times New Roman" w:hAnsi="Helvetica" w:cs="Helvetica"/>
          <w:color w:val="1E1E1F"/>
          <w:kern w:val="0"/>
          <w:sz w:val="21"/>
          <w:szCs w:val="21"/>
          <w:lang w:eastAsia="el-GR"/>
          <w14:ligatures w14:val="none"/>
        </w:rPr>
        <w:t> (ΣΛΕΕ) τα οποία καθιστούν την ΕΕ αρμόδια για την περιβαλλοντική πολιτική. Στους τομείς δράσης της περιλαμβάνονται η ρύπανση του αέρα και των υδάτων, η διαχείριση των αποβλήτων και η κλιματική αλλαγή.</w:t>
      </w:r>
    </w:p>
    <w:p w14:paraId="31EC14B3" w14:textId="77777777" w:rsidR="007E0B7F" w:rsidRPr="007E0B7F" w:rsidRDefault="007E0B7F" w:rsidP="007E0B7F">
      <w:pPr>
        <w:shd w:val="clear" w:color="auto" w:fill="FFFFFF"/>
        <w:spacing w:after="100" w:afterAutospacing="1" w:line="288" w:lineRule="atLeast"/>
        <w:outlineLvl w:val="1"/>
        <w:rPr>
          <w:rFonts w:ascii="Georgia" w:eastAsia="Times New Roman" w:hAnsi="Georgia" w:cs="Helvetica"/>
          <w:color w:val="1E1E1F"/>
          <w:kern w:val="0"/>
          <w:sz w:val="36"/>
          <w:szCs w:val="36"/>
          <w:lang w:eastAsia="el-GR"/>
          <w14:ligatures w14:val="none"/>
        </w:rPr>
      </w:pPr>
      <w:r w:rsidRPr="007E0B7F">
        <w:rPr>
          <w:rFonts w:ascii="Georgia" w:eastAsia="Times New Roman" w:hAnsi="Georgia" w:cs="Helvetica"/>
          <w:color w:val="1E1E1F"/>
          <w:kern w:val="0"/>
          <w:sz w:val="36"/>
          <w:szCs w:val="36"/>
          <w:lang w:eastAsia="el-GR"/>
          <w14:ligatures w14:val="none"/>
        </w:rPr>
        <w:t>Αρχές και εξέλιξη</w:t>
      </w:r>
    </w:p>
    <w:p w14:paraId="48E2D78A"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b/>
          <w:bCs/>
          <w:color w:val="1E1E1F"/>
          <w:kern w:val="0"/>
          <w:sz w:val="21"/>
          <w:szCs w:val="21"/>
          <w:lang w:eastAsia="el-GR"/>
          <w14:ligatures w14:val="none"/>
        </w:rPr>
        <w:t>1.</w:t>
      </w:r>
      <w:r w:rsidRPr="007E0B7F">
        <w:rPr>
          <w:rFonts w:ascii="Helvetica" w:eastAsia="Times New Roman" w:hAnsi="Helvetica" w:cs="Helvetica"/>
          <w:color w:val="1E1E1F"/>
          <w:kern w:val="0"/>
          <w:sz w:val="21"/>
          <w:szCs w:val="21"/>
          <w:lang w:eastAsia="el-GR"/>
          <w14:ligatures w14:val="none"/>
        </w:rPr>
        <w:t> Διεθνείς διακηρύξεις</w:t>
      </w:r>
    </w:p>
    <w:p w14:paraId="4173B208"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Το 1972 πραγματοποιήθηκε στη Στοκχόλμη η πρώτη διάσκεψη των Ηνωμένων Εθνών για το ανθρώπινο περιβάλλον. Έθεσε τα περιβαλλοντικά ζητήματα στην πρώτη γραμμή των διεθνών ανησυχιών και ενέκρινε αρχές για τη χρηστή διαχείριση του περιβάλλοντος, συμπεριλαμβανομένης της </w:t>
      </w:r>
      <w:hyperlink r:id="rId6" w:history="1">
        <w:r w:rsidRPr="007E0B7F">
          <w:rPr>
            <w:rFonts w:ascii="Helvetica" w:eastAsia="Times New Roman" w:hAnsi="Helvetica" w:cs="Helvetica"/>
            <w:color w:val="3C77BD"/>
            <w:kern w:val="0"/>
            <w:sz w:val="21"/>
            <w:szCs w:val="21"/>
            <w:u w:val="single"/>
            <w:lang w:eastAsia="el-GR"/>
            <w14:ligatures w14:val="none"/>
          </w:rPr>
          <w:t>Διακήρυξης της Στοκχόλμης και του σχεδίου δράσης για το ανθρώπινο περιβάλλον</w:t>
        </w:r>
      </w:hyperlink>
      <w:r w:rsidRPr="007E0B7F">
        <w:rPr>
          <w:rFonts w:ascii="Helvetica" w:eastAsia="Times New Roman" w:hAnsi="Helvetica" w:cs="Helvetica"/>
          <w:color w:val="1E1E1F"/>
          <w:kern w:val="0"/>
          <w:sz w:val="21"/>
          <w:szCs w:val="21"/>
          <w:lang w:eastAsia="el-GR"/>
          <w14:ligatures w14:val="none"/>
        </w:rPr>
        <w:t>.</w:t>
      </w:r>
    </w:p>
    <w:p w14:paraId="0E81C223"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 xml:space="preserve">Το 1992 πραγματοποιήθηκε η «Διάσκεψη Κορυφής για τη Γη» στο Ρίο ντε </w:t>
      </w:r>
      <w:proofErr w:type="spellStart"/>
      <w:r w:rsidRPr="007E0B7F">
        <w:rPr>
          <w:rFonts w:ascii="Helvetica" w:eastAsia="Times New Roman" w:hAnsi="Helvetica" w:cs="Helvetica"/>
          <w:color w:val="1E1E1F"/>
          <w:kern w:val="0"/>
          <w:sz w:val="21"/>
          <w:szCs w:val="21"/>
          <w:lang w:eastAsia="el-GR"/>
          <w14:ligatures w14:val="none"/>
        </w:rPr>
        <w:t>Τζανέιρο</w:t>
      </w:r>
      <w:proofErr w:type="spellEnd"/>
      <w:r w:rsidRPr="007E0B7F">
        <w:rPr>
          <w:rFonts w:ascii="Helvetica" w:eastAsia="Times New Roman" w:hAnsi="Helvetica" w:cs="Helvetica"/>
          <w:color w:val="1E1E1F"/>
          <w:kern w:val="0"/>
          <w:sz w:val="21"/>
          <w:szCs w:val="21"/>
          <w:lang w:eastAsia="el-GR"/>
          <w14:ligatures w14:val="none"/>
        </w:rPr>
        <w:t>. Η διάσκεψη αυτή οδήγησε στην έγκριση αρκετών σημαντικών διακηρύξεων, όπως το </w:t>
      </w:r>
      <w:hyperlink r:id="rId7" w:history="1">
        <w:r w:rsidRPr="007E0B7F">
          <w:rPr>
            <w:rFonts w:ascii="Helvetica" w:eastAsia="Times New Roman" w:hAnsi="Helvetica" w:cs="Helvetica"/>
            <w:color w:val="3C77BD"/>
            <w:kern w:val="0"/>
            <w:sz w:val="21"/>
            <w:szCs w:val="21"/>
            <w:u w:val="single"/>
            <w:lang w:eastAsia="el-GR"/>
            <w14:ligatures w14:val="none"/>
          </w:rPr>
          <w:t>Πρόγραμμα Δράσης 21</w:t>
        </w:r>
      </w:hyperlink>
      <w:r w:rsidRPr="007E0B7F">
        <w:rPr>
          <w:rFonts w:ascii="Helvetica" w:eastAsia="Times New Roman" w:hAnsi="Helvetica" w:cs="Helvetica"/>
          <w:color w:val="1E1E1F"/>
          <w:kern w:val="0"/>
          <w:sz w:val="21"/>
          <w:szCs w:val="21"/>
          <w:lang w:eastAsia="el-GR"/>
          <w14:ligatures w14:val="none"/>
        </w:rPr>
        <w:t>, η </w:t>
      </w:r>
      <w:hyperlink r:id="rId8" w:history="1">
        <w:r w:rsidRPr="007E0B7F">
          <w:rPr>
            <w:rFonts w:ascii="Helvetica" w:eastAsia="Times New Roman" w:hAnsi="Helvetica" w:cs="Helvetica"/>
            <w:color w:val="3C77BD"/>
            <w:kern w:val="0"/>
            <w:sz w:val="21"/>
            <w:szCs w:val="21"/>
            <w:u w:val="single"/>
            <w:lang w:eastAsia="el-GR"/>
            <w14:ligatures w14:val="none"/>
          </w:rPr>
          <w:t>Διακήρυξη του Ρίο</w:t>
        </w:r>
      </w:hyperlink>
      <w:r w:rsidRPr="007E0B7F">
        <w:rPr>
          <w:rFonts w:ascii="Helvetica" w:eastAsia="Times New Roman" w:hAnsi="Helvetica" w:cs="Helvetica"/>
          <w:color w:val="1E1E1F"/>
          <w:kern w:val="0"/>
          <w:sz w:val="21"/>
          <w:szCs w:val="21"/>
          <w:lang w:eastAsia="el-GR"/>
          <w14:ligatures w14:val="none"/>
        </w:rPr>
        <w:t>, η </w:t>
      </w:r>
      <w:hyperlink r:id="rId9" w:history="1">
        <w:r w:rsidRPr="007E0B7F">
          <w:rPr>
            <w:rFonts w:ascii="Helvetica" w:eastAsia="Times New Roman" w:hAnsi="Helvetica" w:cs="Helvetica"/>
            <w:color w:val="3C77BD"/>
            <w:kern w:val="0"/>
            <w:sz w:val="21"/>
            <w:szCs w:val="21"/>
            <w:u w:val="single"/>
            <w:lang w:eastAsia="el-GR"/>
            <w14:ligatures w14:val="none"/>
          </w:rPr>
          <w:t>σύμβαση-πλαίσιο των Ηνωμένων Εθνών για την κλιματική αλλαγή (UNFCCC)</w:t>
        </w:r>
      </w:hyperlink>
      <w:r w:rsidRPr="007E0B7F">
        <w:rPr>
          <w:rFonts w:ascii="Helvetica" w:eastAsia="Times New Roman" w:hAnsi="Helvetica" w:cs="Helvetica"/>
          <w:color w:val="1E1E1F"/>
          <w:kern w:val="0"/>
          <w:sz w:val="21"/>
          <w:szCs w:val="21"/>
          <w:lang w:eastAsia="el-GR"/>
          <w14:ligatures w14:val="none"/>
        </w:rPr>
        <w:t> και η </w:t>
      </w:r>
      <w:hyperlink r:id="rId10" w:history="1">
        <w:r w:rsidRPr="007E0B7F">
          <w:rPr>
            <w:rFonts w:ascii="Helvetica" w:eastAsia="Times New Roman" w:hAnsi="Helvetica" w:cs="Helvetica"/>
            <w:color w:val="3C77BD"/>
            <w:kern w:val="0"/>
            <w:sz w:val="21"/>
            <w:szCs w:val="21"/>
            <w:u w:val="single"/>
            <w:lang w:eastAsia="el-GR"/>
            <w14:ligatures w14:val="none"/>
          </w:rPr>
          <w:t>σύμβαση για τη βιολογική ποικιλότητα</w:t>
        </w:r>
      </w:hyperlink>
      <w:r w:rsidRPr="007E0B7F">
        <w:rPr>
          <w:rFonts w:ascii="Helvetica" w:eastAsia="Times New Roman" w:hAnsi="Helvetica" w:cs="Helvetica"/>
          <w:color w:val="1E1E1F"/>
          <w:kern w:val="0"/>
          <w:sz w:val="21"/>
          <w:szCs w:val="21"/>
          <w:lang w:eastAsia="el-GR"/>
          <w14:ligatures w14:val="none"/>
        </w:rPr>
        <w:t>.</w:t>
      </w:r>
    </w:p>
    <w:p w14:paraId="23017B67"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b/>
          <w:bCs/>
          <w:color w:val="1E1E1F"/>
          <w:kern w:val="0"/>
          <w:sz w:val="21"/>
          <w:szCs w:val="21"/>
          <w:lang w:eastAsia="el-GR"/>
          <w14:ligatures w14:val="none"/>
        </w:rPr>
        <w:t>2.</w:t>
      </w:r>
      <w:r w:rsidRPr="007E0B7F">
        <w:rPr>
          <w:rFonts w:ascii="Helvetica" w:eastAsia="Times New Roman" w:hAnsi="Helvetica" w:cs="Helvetica"/>
          <w:color w:val="1E1E1F"/>
          <w:kern w:val="0"/>
          <w:sz w:val="21"/>
          <w:szCs w:val="21"/>
          <w:lang w:eastAsia="el-GR"/>
          <w14:ligatures w14:val="none"/>
        </w:rPr>
        <w:t> Ευρωπαϊκές Συνθήκες</w:t>
      </w:r>
    </w:p>
    <w:p w14:paraId="0AE7EB39"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Στη Σύνοδο του Παρισιού το 1972, το Συμβούλιο των Ευρωπαϊκών Κοινοτήτων διακήρυξε την ανάγκη για μια Κοινοτική περιβαλλοντική πολιτική που θα πλαισιώνει τις οικονομικές πολιτικές και κάλεσε για ένα πρόγραμμα δράσης για τη διατήρηση και τη βελτίωση του περιβάλλοντος, καθώς και για την καταπολέμηση της ρύπανσης και των οχλήσεων.</w:t>
      </w:r>
    </w:p>
    <w:p w14:paraId="7E37A426"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Το 1987, η </w:t>
      </w:r>
      <w:hyperlink r:id="rId11" w:history="1">
        <w:r w:rsidRPr="007E0B7F">
          <w:rPr>
            <w:rFonts w:ascii="Helvetica" w:eastAsia="Times New Roman" w:hAnsi="Helvetica" w:cs="Helvetica"/>
            <w:color w:val="3C77BD"/>
            <w:kern w:val="0"/>
            <w:sz w:val="21"/>
            <w:szCs w:val="21"/>
            <w:u w:val="single"/>
            <w:lang w:eastAsia="el-GR"/>
            <w14:ligatures w14:val="none"/>
          </w:rPr>
          <w:t>Ενιαία Ευρωπαϊκή Πράξη</w:t>
        </w:r>
      </w:hyperlink>
      <w:r w:rsidRPr="007E0B7F">
        <w:rPr>
          <w:rFonts w:ascii="Helvetica" w:eastAsia="Times New Roman" w:hAnsi="Helvetica" w:cs="Helvetica"/>
          <w:color w:val="1E1E1F"/>
          <w:kern w:val="0"/>
          <w:sz w:val="21"/>
          <w:szCs w:val="21"/>
          <w:lang w:eastAsia="el-GR"/>
          <w14:ligatures w14:val="none"/>
        </w:rPr>
        <w:t> εισήγαγε έναν νέο «τίτλο για το περιβάλλον» (τίτλος VII), ο οποίος παρείχε την πρώτη νομική βάση για μια κοινή περιβαλλοντική πολιτική. Στόχος της είναι η διατήρηση της ποιότητας του περιβάλλοντος, η προστασία της ανθρώπινης υγείας και η διασφάλιση της ορθολογικής χρήσης των φυσικών πόρων. Οι μεταγενέστερες αναθεωρήσεις των Συνθηκών ενίσχυσαν τη δέσμευση της Κοινότητας υπέρ της προστασίας του περιβάλλοντος και τον ρόλο του Κοινοβουλίου στην ανάπτυξη μιας περιβαλλοντικής πολιτικής.</w:t>
      </w:r>
    </w:p>
    <w:p w14:paraId="37A139B8"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Το 1993, η </w:t>
      </w:r>
      <w:hyperlink r:id="rId12" w:history="1">
        <w:r w:rsidRPr="007E0B7F">
          <w:rPr>
            <w:rFonts w:ascii="Helvetica" w:eastAsia="Times New Roman" w:hAnsi="Helvetica" w:cs="Helvetica"/>
            <w:color w:val="3C77BD"/>
            <w:kern w:val="0"/>
            <w:sz w:val="21"/>
            <w:szCs w:val="21"/>
            <w:u w:val="single"/>
            <w:lang w:eastAsia="el-GR"/>
            <w14:ligatures w14:val="none"/>
          </w:rPr>
          <w:t>Συνθήκη του Μάαστριχτ</w:t>
        </w:r>
      </w:hyperlink>
      <w:r w:rsidRPr="007E0B7F">
        <w:rPr>
          <w:rFonts w:ascii="Helvetica" w:eastAsia="Times New Roman" w:hAnsi="Helvetica" w:cs="Helvetica"/>
          <w:color w:val="1E1E1F"/>
          <w:kern w:val="0"/>
          <w:sz w:val="21"/>
          <w:szCs w:val="21"/>
          <w:lang w:eastAsia="el-GR"/>
          <w14:ligatures w14:val="none"/>
        </w:rPr>
        <w:t xml:space="preserve"> κατέστησε το περιβάλλον (Τίτλος XVI) επίσημο τομέα πολιτικής της ΕΕ. Εισήγαγε τη διαδικασία </w:t>
      </w:r>
      <w:proofErr w:type="spellStart"/>
      <w:r w:rsidRPr="007E0B7F">
        <w:rPr>
          <w:rFonts w:ascii="Helvetica" w:eastAsia="Times New Roman" w:hAnsi="Helvetica" w:cs="Helvetica"/>
          <w:color w:val="1E1E1F"/>
          <w:kern w:val="0"/>
          <w:sz w:val="21"/>
          <w:szCs w:val="21"/>
          <w:lang w:eastAsia="el-GR"/>
          <w14:ligatures w14:val="none"/>
        </w:rPr>
        <w:t>συναπόφασης</w:t>
      </w:r>
      <w:proofErr w:type="spellEnd"/>
      <w:r w:rsidRPr="007E0B7F">
        <w:rPr>
          <w:rFonts w:ascii="Helvetica" w:eastAsia="Times New Roman" w:hAnsi="Helvetica" w:cs="Helvetica"/>
          <w:color w:val="1E1E1F"/>
          <w:kern w:val="0"/>
          <w:sz w:val="21"/>
          <w:szCs w:val="21"/>
          <w:lang w:eastAsia="el-GR"/>
          <w14:ligatures w14:val="none"/>
        </w:rPr>
        <w:t xml:space="preserve"> και όρισε ως γενικό κανόνα την ψηφοφορία με ειδική πλειοψηφία στο Συμβούλιο. Επιπλέον, κάλεσε τα κράτη μέλη να </w:t>
      </w:r>
      <w:r w:rsidRPr="007E0B7F">
        <w:rPr>
          <w:rFonts w:ascii="Helvetica" w:eastAsia="Times New Roman" w:hAnsi="Helvetica" w:cs="Helvetica"/>
          <w:color w:val="1E1E1F"/>
          <w:kern w:val="0"/>
          <w:sz w:val="21"/>
          <w:szCs w:val="21"/>
          <w:lang w:eastAsia="el-GR"/>
          <w14:ligatures w14:val="none"/>
        </w:rPr>
        <w:lastRenderedPageBreak/>
        <w:t>αξιολογήσουν τον περιβαλλοντικό τους αντίκτυπο και να τηρήσουν την αρχή της βιώσιμης ανάπτυξης.</w:t>
      </w:r>
    </w:p>
    <w:p w14:paraId="3F3021AF"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Το 1999, το άρθρο 3γ της </w:t>
      </w:r>
      <w:hyperlink r:id="rId13" w:history="1">
        <w:r w:rsidRPr="007E0B7F">
          <w:rPr>
            <w:rFonts w:ascii="Helvetica" w:eastAsia="Times New Roman" w:hAnsi="Helvetica" w:cs="Helvetica"/>
            <w:color w:val="3C77BD"/>
            <w:kern w:val="0"/>
            <w:sz w:val="21"/>
            <w:szCs w:val="21"/>
            <w:u w:val="single"/>
            <w:lang w:eastAsia="el-GR"/>
            <w14:ligatures w14:val="none"/>
          </w:rPr>
          <w:t>Συνθήκης του Άμστερνταμ</w:t>
        </w:r>
      </w:hyperlink>
      <w:r w:rsidRPr="007E0B7F">
        <w:rPr>
          <w:rFonts w:ascii="Helvetica" w:eastAsia="Times New Roman" w:hAnsi="Helvetica" w:cs="Helvetica"/>
          <w:color w:val="1E1E1F"/>
          <w:kern w:val="0"/>
          <w:sz w:val="21"/>
          <w:szCs w:val="21"/>
          <w:lang w:eastAsia="el-GR"/>
          <w14:ligatures w14:val="none"/>
        </w:rPr>
        <w:t> ανέθεσε την ενσωμάτωση της προστασίας του περιβάλλοντος σε όλες τις τομεακές πολιτικές της ΕΕ, προκειμένου να προωθηθεί η αειφόρος ανάπτυξη.</w:t>
      </w:r>
    </w:p>
    <w:p w14:paraId="3489083F"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Το 2007, η </w:t>
      </w:r>
      <w:hyperlink r:id="rId14" w:history="1">
        <w:r w:rsidRPr="007E0B7F">
          <w:rPr>
            <w:rFonts w:ascii="Helvetica" w:eastAsia="Times New Roman" w:hAnsi="Helvetica" w:cs="Helvetica"/>
            <w:color w:val="3C77BD"/>
            <w:kern w:val="0"/>
            <w:sz w:val="21"/>
            <w:szCs w:val="21"/>
            <w:u w:val="single"/>
            <w:lang w:eastAsia="el-GR"/>
            <w14:ligatures w14:val="none"/>
          </w:rPr>
          <w:t>Συνθήκη της Λισαβόνας</w:t>
        </w:r>
      </w:hyperlink>
      <w:r w:rsidRPr="007E0B7F">
        <w:rPr>
          <w:rFonts w:ascii="Helvetica" w:eastAsia="Times New Roman" w:hAnsi="Helvetica" w:cs="Helvetica"/>
          <w:color w:val="1E1E1F"/>
          <w:kern w:val="0"/>
          <w:sz w:val="21"/>
          <w:szCs w:val="21"/>
          <w:lang w:eastAsia="el-GR"/>
          <w14:ligatures w14:val="none"/>
        </w:rPr>
        <w:t> κατέστησε προτεραιότητα την κλιματική αλλαγή και τη βιώσιμη ανάπτυξη. Αναγνώρισε επίσης τη νομική προσωπικότητα της ΕΕ, η οποία επιτρέπει στην ΕΕ να συνάπτει διεθνείς συμφωνίες.</w:t>
      </w:r>
    </w:p>
    <w:p w14:paraId="080E3248" w14:textId="77777777" w:rsidR="007E0B7F" w:rsidRPr="007E0B7F" w:rsidRDefault="007E0B7F" w:rsidP="007E0B7F">
      <w:pPr>
        <w:shd w:val="clear" w:color="auto" w:fill="FFFFFF"/>
        <w:spacing w:after="100" w:afterAutospacing="1" w:line="288" w:lineRule="atLeast"/>
        <w:outlineLvl w:val="1"/>
        <w:rPr>
          <w:rFonts w:ascii="Georgia" w:eastAsia="Times New Roman" w:hAnsi="Georgia" w:cs="Helvetica"/>
          <w:color w:val="1E1E1F"/>
          <w:kern w:val="0"/>
          <w:sz w:val="36"/>
          <w:szCs w:val="36"/>
          <w:lang w:eastAsia="el-GR"/>
          <w14:ligatures w14:val="none"/>
        </w:rPr>
      </w:pPr>
      <w:r w:rsidRPr="007E0B7F">
        <w:rPr>
          <w:rFonts w:ascii="Georgia" w:eastAsia="Times New Roman" w:hAnsi="Georgia" w:cs="Helvetica"/>
          <w:color w:val="1E1E1F"/>
          <w:kern w:val="0"/>
          <w:sz w:val="36"/>
          <w:szCs w:val="36"/>
          <w:lang w:eastAsia="el-GR"/>
          <w14:ligatures w14:val="none"/>
        </w:rPr>
        <w:t>Γενικές αρχές</w:t>
      </w:r>
    </w:p>
    <w:p w14:paraId="23AB9C05"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Η περιβαλλοντική πολιτική της ΕΕ βασίζεται σε τέσσερις αρχές:</w:t>
      </w:r>
    </w:p>
    <w:p w14:paraId="098D3793" w14:textId="77777777" w:rsidR="007E0B7F" w:rsidRPr="007E0B7F" w:rsidRDefault="007E0B7F" w:rsidP="007E0B7F">
      <w:pPr>
        <w:numPr>
          <w:ilvl w:val="0"/>
          <w:numId w:val="2"/>
        </w:numPr>
        <w:shd w:val="clear" w:color="auto" w:fill="FFFFFF"/>
        <w:spacing w:before="100" w:beforeAutospacing="1" w:after="100" w:afterAutospacing="1" w:line="240" w:lineRule="auto"/>
        <w:rPr>
          <w:rFonts w:ascii="Helvetica" w:eastAsia="Times New Roman" w:hAnsi="Helvetica" w:cs="Helvetica"/>
          <w:color w:val="1E1E1F"/>
          <w:kern w:val="0"/>
          <w:sz w:val="21"/>
          <w:szCs w:val="21"/>
          <w:lang w:eastAsia="el-GR"/>
          <w14:ligatures w14:val="none"/>
        </w:rPr>
      </w:pPr>
      <w:hyperlink r:id="rId15" w:anchor=":~:text=The%20precautionary%20principle%20is%20an,should%20not%20be%20carried%20out." w:history="1">
        <w:r w:rsidRPr="007E0B7F">
          <w:rPr>
            <w:rFonts w:ascii="Helvetica" w:eastAsia="Times New Roman" w:hAnsi="Helvetica" w:cs="Helvetica"/>
            <w:color w:val="3C77BD"/>
            <w:kern w:val="0"/>
            <w:sz w:val="21"/>
            <w:szCs w:val="21"/>
            <w:lang w:eastAsia="el-GR"/>
            <w14:ligatures w14:val="none"/>
          </w:rPr>
          <w:t>Προφύλαξη</w:t>
        </w:r>
      </w:hyperlink>
      <w:r w:rsidRPr="007E0B7F">
        <w:rPr>
          <w:rFonts w:ascii="Helvetica" w:eastAsia="Times New Roman" w:hAnsi="Helvetica" w:cs="Helvetica"/>
          <w:color w:val="1E1E1F"/>
          <w:kern w:val="0"/>
          <w:sz w:val="21"/>
          <w:szCs w:val="21"/>
          <w:lang w:eastAsia="el-GR"/>
          <w14:ligatures w14:val="none"/>
        </w:rPr>
        <w:t>: εάν μια δράση ή πολιτική έχει τη δυνατότητα να προκαλέσει βλάβη στο περιβάλλον ή τη δημόσια υγεία και υπάρχει συνεχιζόμενη επιστημονική αβεβαιότητα σχετικά με τις επιπτώσεις της, η δράση αυτή δεν θα πρέπει να εφαρμόζεται έως ότου παρασχεθούν περαιτέρω στοιχεία·</w:t>
      </w:r>
    </w:p>
    <w:p w14:paraId="0999A805" w14:textId="77777777" w:rsidR="007E0B7F" w:rsidRPr="007E0B7F" w:rsidRDefault="007E0B7F" w:rsidP="007E0B7F">
      <w:pPr>
        <w:numPr>
          <w:ilvl w:val="0"/>
          <w:numId w:val="2"/>
        </w:numPr>
        <w:shd w:val="clear" w:color="auto" w:fill="FFFFFF"/>
        <w:spacing w:before="100" w:beforeAutospacing="1"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Πρόληψη: ένα εργαλείο που αποσκοπεί στην πρόληψη της περιβαλλοντικής ζημίας και όχι στην αντίδραση σε αυτήν. Αυτό απαιτεί τη λήψη προληπτικών μέτρων για την πρόβλεψη και την αποφυγή περιβαλλοντικών ζημιών·</w:t>
      </w:r>
    </w:p>
    <w:p w14:paraId="66CF8255" w14:textId="77777777" w:rsidR="007E0B7F" w:rsidRPr="007E0B7F" w:rsidRDefault="007E0B7F" w:rsidP="007E0B7F">
      <w:pPr>
        <w:numPr>
          <w:ilvl w:val="0"/>
          <w:numId w:val="2"/>
        </w:numPr>
        <w:shd w:val="clear" w:color="auto" w:fill="FFFFFF"/>
        <w:spacing w:before="100" w:beforeAutospacing="1"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Αποκατάσταση της ρύπανσης στην πηγή: εάν έχει ήδη προκληθεί βλάβη, οι υπεύθυνοι για τη ρύπανση οφείλουν να λάβουν τα κατάλληλα μέτρα για να αποκαταστήσουν τη βλάβη στο σημείο που προκλήθηκε·</w:t>
      </w:r>
    </w:p>
    <w:p w14:paraId="41C7F1C3" w14:textId="77777777" w:rsidR="007E0B7F" w:rsidRPr="007E0B7F" w:rsidRDefault="007E0B7F" w:rsidP="007E0B7F">
      <w:pPr>
        <w:numPr>
          <w:ilvl w:val="0"/>
          <w:numId w:val="2"/>
        </w:numPr>
        <w:shd w:val="clear" w:color="auto" w:fill="FFFFFF"/>
        <w:spacing w:before="100" w:beforeAutospacing="1"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 xml:space="preserve">«ο </w:t>
      </w:r>
      <w:proofErr w:type="spellStart"/>
      <w:r w:rsidRPr="007E0B7F">
        <w:rPr>
          <w:rFonts w:ascii="Helvetica" w:eastAsia="Times New Roman" w:hAnsi="Helvetica" w:cs="Helvetica"/>
          <w:color w:val="1E1E1F"/>
          <w:kern w:val="0"/>
          <w:sz w:val="21"/>
          <w:szCs w:val="21"/>
          <w:lang w:eastAsia="el-GR"/>
          <w14:ligatures w14:val="none"/>
        </w:rPr>
        <w:t>ρυπαίνων</w:t>
      </w:r>
      <w:proofErr w:type="spellEnd"/>
      <w:r w:rsidRPr="007E0B7F">
        <w:rPr>
          <w:rFonts w:ascii="Helvetica" w:eastAsia="Times New Roman" w:hAnsi="Helvetica" w:cs="Helvetica"/>
          <w:color w:val="1E1E1F"/>
          <w:kern w:val="0"/>
          <w:sz w:val="21"/>
          <w:szCs w:val="21"/>
          <w:lang w:eastAsia="el-GR"/>
          <w14:ligatures w14:val="none"/>
        </w:rPr>
        <w:t xml:space="preserve"> πληρώνει»: εάν έχει ήδη προκληθεί βλάβη, οι υπεύθυνοι για τη ρύπανση οφείλουν να λάβουν τα κατάλληλα μέτρα για να την αποκαταστήσουν και να πληρώσουν τη δαπάνη. Αυτή η αρχή υλοποιήθηκε με την </w:t>
      </w:r>
      <w:hyperlink r:id="rId16" w:history="1">
        <w:r w:rsidRPr="007E0B7F">
          <w:rPr>
            <w:rFonts w:ascii="Helvetica" w:eastAsia="Times New Roman" w:hAnsi="Helvetica" w:cs="Helvetica"/>
            <w:color w:val="3C77BD"/>
            <w:kern w:val="0"/>
            <w:sz w:val="21"/>
            <w:szCs w:val="21"/>
            <w:lang w:eastAsia="el-GR"/>
            <w14:ligatures w14:val="none"/>
          </w:rPr>
          <w:t>οδηγία για την περιβαλλοντική ευθύνη</w:t>
        </w:r>
      </w:hyperlink>
      <w:r w:rsidRPr="007E0B7F">
        <w:rPr>
          <w:rFonts w:ascii="Helvetica" w:eastAsia="Times New Roman" w:hAnsi="Helvetica" w:cs="Helvetica"/>
          <w:color w:val="1E1E1F"/>
          <w:kern w:val="0"/>
          <w:sz w:val="21"/>
          <w:szCs w:val="21"/>
          <w:lang w:eastAsia="el-GR"/>
          <w14:ligatures w14:val="none"/>
        </w:rPr>
        <w:t xml:space="preserve">, που αποσκοπεί στην πρόληψη ή διαφορετικά στην αποκατάσταση της περιβαλλοντικής ζημίας σε προστατευόμενα είδη και φυσικούς </w:t>
      </w:r>
      <w:proofErr w:type="spellStart"/>
      <w:r w:rsidRPr="007E0B7F">
        <w:rPr>
          <w:rFonts w:ascii="Helvetica" w:eastAsia="Times New Roman" w:hAnsi="Helvetica" w:cs="Helvetica"/>
          <w:color w:val="1E1E1F"/>
          <w:kern w:val="0"/>
          <w:sz w:val="21"/>
          <w:szCs w:val="21"/>
          <w:lang w:eastAsia="el-GR"/>
          <w14:ligatures w14:val="none"/>
        </w:rPr>
        <w:t>οικοτόπους</w:t>
      </w:r>
      <w:proofErr w:type="spellEnd"/>
      <w:r w:rsidRPr="007E0B7F">
        <w:rPr>
          <w:rFonts w:ascii="Helvetica" w:eastAsia="Times New Roman" w:hAnsi="Helvetica" w:cs="Helvetica"/>
          <w:color w:val="1E1E1F"/>
          <w:kern w:val="0"/>
          <w:sz w:val="21"/>
          <w:szCs w:val="21"/>
          <w:lang w:eastAsia="el-GR"/>
          <w14:ligatures w14:val="none"/>
        </w:rPr>
        <w:t>, σε ύδατα και στο έδαφος.</w:t>
      </w:r>
    </w:p>
    <w:p w14:paraId="2E929B7C" w14:textId="77777777" w:rsidR="007E0B7F" w:rsidRPr="007E0B7F" w:rsidRDefault="007E0B7F" w:rsidP="007E0B7F">
      <w:pPr>
        <w:shd w:val="clear" w:color="auto" w:fill="FFFFFF"/>
        <w:spacing w:after="100" w:afterAutospacing="1" w:line="288" w:lineRule="atLeast"/>
        <w:outlineLvl w:val="1"/>
        <w:rPr>
          <w:rFonts w:ascii="Georgia" w:eastAsia="Times New Roman" w:hAnsi="Georgia" w:cs="Helvetica"/>
          <w:color w:val="1E1E1F"/>
          <w:kern w:val="0"/>
          <w:sz w:val="36"/>
          <w:szCs w:val="36"/>
          <w:lang w:eastAsia="el-GR"/>
          <w14:ligatures w14:val="none"/>
        </w:rPr>
      </w:pPr>
      <w:r w:rsidRPr="007E0B7F">
        <w:rPr>
          <w:rFonts w:ascii="Georgia" w:eastAsia="Times New Roman" w:hAnsi="Georgia" w:cs="Helvetica"/>
          <w:color w:val="1E1E1F"/>
          <w:kern w:val="0"/>
          <w:sz w:val="36"/>
          <w:szCs w:val="36"/>
          <w:lang w:eastAsia="el-GR"/>
          <w14:ligatures w14:val="none"/>
        </w:rPr>
        <w:t>Βασικό πλαίσιο</w:t>
      </w:r>
    </w:p>
    <w:p w14:paraId="4963AF20"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b/>
          <w:bCs/>
          <w:color w:val="1E1E1F"/>
          <w:kern w:val="0"/>
          <w:sz w:val="21"/>
          <w:szCs w:val="21"/>
          <w:lang w:eastAsia="el-GR"/>
          <w14:ligatures w14:val="none"/>
        </w:rPr>
        <w:t>1.</w:t>
      </w:r>
      <w:r w:rsidRPr="007E0B7F">
        <w:rPr>
          <w:rFonts w:ascii="Helvetica" w:eastAsia="Times New Roman" w:hAnsi="Helvetica" w:cs="Helvetica"/>
          <w:color w:val="1E1E1F"/>
          <w:kern w:val="0"/>
          <w:sz w:val="21"/>
          <w:szCs w:val="21"/>
          <w:lang w:eastAsia="el-GR"/>
          <w14:ligatures w14:val="none"/>
        </w:rPr>
        <w:t> Προγράμματα δράσης για το περιβάλλον</w:t>
      </w:r>
    </w:p>
    <w:p w14:paraId="1042389E"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Από το 1973, η Επιτροπή εκδίδει πολυετή προγράμματα δράσης για το περιβάλλον τα οποία καθορίζουν μελλοντικές νομοθετικές προτάσεις και στόχους για την περιβαλλοντική πολιτική της ΕΕ. Τον Μάιο του 2022 τέθηκε σε ισχύ το </w:t>
      </w:r>
      <w:hyperlink r:id="rId17" w:history="1">
        <w:r w:rsidRPr="007E0B7F">
          <w:rPr>
            <w:rFonts w:ascii="Helvetica" w:eastAsia="Times New Roman" w:hAnsi="Helvetica" w:cs="Helvetica"/>
            <w:color w:val="3C77BD"/>
            <w:kern w:val="0"/>
            <w:sz w:val="21"/>
            <w:szCs w:val="21"/>
            <w:u w:val="single"/>
            <w:lang w:eastAsia="el-GR"/>
            <w14:ligatures w14:val="none"/>
          </w:rPr>
          <w:t>8ο πρόγραμμα δράσης για το περιβάλλον</w:t>
        </w:r>
      </w:hyperlink>
      <w:r w:rsidRPr="007E0B7F">
        <w:rPr>
          <w:rFonts w:ascii="Helvetica" w:eastAsia="Times New Roman" w:hAnsi="Helvetica" w:cs="Helvetica"/>
          <w:color w:val="1E1E1F"/>
          <w:kern w:val="0"/>
          <w:sz w:val="21"/>
          <w:szCs w:val="21"/>
          <w:lang w:eastAsia="el-GR"/>
          <w14:ligatures w14:val="none"/>
        </w:rPr>
        <w:t>, καθώς η ΕΕ συμφώνησε νομικά επί του κοινού θεματολογίου για την περιβαλλοντική πολιτική έως το τέλος του 2030. Το πρόγραμμα αξιοποιεί τους περιβαλλοντικούς και κλιματικούς στόχους της Ευρωπαϊκής Πράσινης Συμφωνίας μέσω έξι βασικών προτεραιοτήτων:</w:t>
      </w:r>
    </w:p>
    <w:p w14:paraId="5782BEA4" w14:textId="77777777" w:rsidR="007E0B7F" w:rsidRPr="007E0B7F" w:rsidRDefault="007E0B7F" w:rsidP="007E0B7F">
      <w:pPr>
        <w:numPr>
          <w:ilvl w:val="0"/>
          <w:numId w:val="3"/>
        </w:numPr>
        <w:shd w:val="clear" w:color="auto" w:fill="FFFFFF"/>
        <w:spacing w:before="100" w:beforeAutospacing="1"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επίτευξη του στόχου για τη μείωση των εκπομπών αερίων του θερμοκηπίου κατά 55% (σε σύγκριση με τα επίπεδα του 1990) έως το 2030 και της κλιματικής ουδετερότητας έως το 2050·</w:t>
      </w:r>
    </w:p>
    <w:p w14:paraId="4DD89117" w14:textId="77777777" w:rsidR="007E0B7F" w:rsidRPr="007E0B7F" w:rsidRDefault="007E0B7F" w:rsidP="007E0B7F">
      <w:pPr>
        <w:numPr>
          <w:ilvl w:val="0"/>
          <w:numId w:val="3"/>
        </w:numPr>
        <w:shd w:val="clear" w:color="auto" w:fill="FFFFFF"/>
        <w:spacing w:before="100" w:beforeAutospacing="1"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βελτίωση της ικανότητας προσαρμογής, ενίσχυση της ανθεκτικότητας και μείωση της ευπάθειας στην κλιματική αλλαγή·</w:t>
      </w:r>
    </w:p>
    <w:p w14:paraId="0842EE55" w14:textId="77777777" w:rsidR="007E0B7F" w:rsidRPr="007E0B7F" w:rsidRDefault="007E0B7F" w:rsidP="007E0B7F">
      <w:pPr>
        <w:numPr>
          <w:ilvl w:val="0"/>
          <w:numId w:val="3"/>
        </w:numPr>
        <w:shd w:val="clear" w:color="auto" w:fill="FFFFFF"/>
        <w:spacing w:before="100" w:beforeAutospacing="1"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 xml:space="preserve">προώθηση ενός μοντέλου </w:t>
      </w:r>
      <w:proofErr w:type="spellStart"/>
      <w:r w:rsidRPr="007E0B7F">
        <w:rPr>
          <w:rFonts w:ascii="Helvetica" w:eastAsia="Times New Roman" w:hAnsi="Helvetica" w:cs="Helvetica"/>
          <w:color w:val="1E1E1F"/>
          <w:kern w:val="0"/>
          <w:sz w:val="21"/>
          <w:szCs w:val="21"/>
          <w:lang w:eastAsia="el-GR"/>
          <w14:ligatures w14:val="none"/>
        </w:rPr>
        <w:t>ανατροφοδοτικής</w:t>
      </w:r>
      <w:proofErr w:type="spellEnd"/>
      <w:r w:rsidRPr="007E0B7F">
        <w:rPr>
          <w:rFonts w:ascii="Helvetica" w:eastAsia="Times New Roman" w:hAnsi="Helvetica" w:cs="Helvetica"/>
          <w:color w:val="1E1E1F"/>
          <w:kern w:val="0"/>
          <w:sz w:val="21"/>
          <w:szCs w:val="21"/>
          <w:lang w:eastAsia="el-GR"/>
          <w14:ligatures w14:val="none"/>
        </w:rPr>
        <w:t xml:space="preserve"> ανάπτυξης, αποσύνδεση της οικονομικής ανάπτυξης από τη χρήση των πόρων και την υποβάθμιση του περιβάλλοντος, και επιτάχυνση της μετάβασης σε μια κυκλική οικονομία·</w:t>
      </w:r>
    </w:p>
    <w:p w14:paraId="0ABDF797" w14:textId="77777777" w:rsidR="007E0B7F" w:rsidRPr="007E0B7F" w:rsidRDefault="007E0B7F" w:rsidP="007E0B7F">
      <w:pPr>
        <w:numPr>
          <w:ilvl w:val="0"/>
          <w:numId w:val="3"/>
        </w:numPr>
        <w:shd w:val="clear" w:color="auto" w:fill="FFFFFF"/>
        <w:spacing w:before="100" w:beforeAutospacing="1"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lastRenderedPageBreak/>
        <w:t>Επιδίωξη του ιδανικού της μηδενικής ρύπανσης, μεταξύ άλλων για τον αέρα, τα ύδατα και το έδαφος, και προστασία της υγείας και της ευημερίας των Ευρωπαίων πολιτών·</w:t>
      </w:r>
    </w:p>
    <w:p w14:paraId="34D024FD" w14:textId="77777777" w:rsidR="007E0B7F" w:rsidRPr="007E0B7F" w:rsidRDefault="007E0B7F" w:rsidP="007E0B7F">
      <w:pPr>
        <w:numPr>
          <w:ilvl w:val="0"/>
          <w:numId w:val="3"/>
        </w:numPr>
        <w:shd w:val="clear" w:color="auto" w:fill="FFFFFF"/>
        <w:spacing w:before="100" w:beforeAutospacing="1"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προστασία, διατήρηση και αποκατάσταση της βιοποικιλότητας και ενίσχυση του φυσικού κεφαλαίου (ιδίως του αέρα, των υδάτων, του εδάφους και των δασών, των γλυκών υδάτων, των υγροτόπων και των θαλάσσιων οικοσυστημάτων)·</w:t>
      </w:r>
    </w:p>
    <w:p w14:paraId="3027BC2D" w14:textId="77777777" w:rsidR="007E0B7F" w:rsidRPr="007E0B7F" w:rsidRDefault="007E0B7F" w:rsidP="007E0B7F">
      <w:pPr>
        <w:numPr>
          <w:ilvl w:val="0"/>
          <w:numId w:val="3"/>
        </w:numPr>
        <w:shd w:val="clear" w:color="auto" w:fill="FFFFFF"/>
        <w:spacing w:before="100" w:beforeAutospacing="1"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μείωση των περιβαλλοντικών και κλιματικών πιέσεων που συνδέονται με την παραγωγή και την κατανάλωση (ιδίως στους τομείς της ενέργειας, της βιομηχανικής ανάπτυξης, των κτιρίων και των υποδομών, της κινητικότητας και του επισιτιστικού συστήματος).</w:t>
      </w:r>
    </w:p>
    <w:p w14:paraId="7F6AE203"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b/>
          <w:bCs/>
          <w:color w:val="1E1E1F"/>
          <w:kern w:val="0"/>
          <w:sz w:val="21"/>
          <w:szCs w:val="21"/>
          <w:lang w:eastAsia="el-GR"/>
          <w14:ligatures w14:val="none"/>
        </w:rPr>
        <w:t>2.</w:t>
      </w:r>
      <w:r w:rsidRPr="007E0B7F">
        <w:rPr>
          <w:rFonts w:ascii="Helvetica" w:eastAsia="Times New Roman" w:hAnsi="Helvetica" w:cs="Helvetica"/>
          <w:color w:val="1E1E1F"/>
          <w:kern w:val="0"/>
          <w:sz w:val="21"/>
          <w:szCs w:val="21"/>
          <w:lang w:eastAsia="el-GR"/>
          <w14:ligatures w14:val="none"/>
        </w:rPr>
        <w:t> Οριζόντιες πρωτοβουλίες</w:t>
      </w:r>
    </w:p>
    <w:p w14:paraId="426D7ADC"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b/>
          <w:bCs/>
          <w:color w:val="1E1E1F"/>
          <w:kern w:val="0"/>
          <w:sz w:val="21"/>
          <w:szCs w:val="21"/>
          <w:lang w:eastAsia="el-GR"/>
          <w14:ligatures w14:val="none"/>
        </w:rPr>
        <w:t>1.</w:t>
      </w:r>
      <w:r w:rsidRPr="007E0B7F">
        <w:rPr>
          <w:rFonts w:ascii="Helvetica" w:eastAsia="Times New Roman" w:hAnsi="Helvetica" w:cs="Helvetica"/>
          <w:color w:val="1E1E1F"/>
          <w:kern w:val="0"/>
          <w:sz w:val="21"/>
          <w:szCs w:val="21"/>
          <w:lang w:eastAsia="el-GR"/>
          <w14:ligatures w14:val="none"/>
        </w:rPr>
        <w:t> Βιώσιμη ανάπτυξη</w:t>
      </w:r>
    </w:p>
    <w:p w14:paraId="7D0F27CE"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Η ΕΕ θέσπισε την πρώτη </w:t>
      </w:r>
      <w:r w:rsidRPr="007E0B7F">
        <w:rPr>
          <w:rFonts w:ascii="Helvetica" w:eastAsia="Times New Roman" w:hAnsi="Helvetica" w:cs="Helvetica"/>
          <w:b/>
          <w:bCs/>
          <w:color w:val="1E1E1F"/>
          <w:kern w:val="0"/>
          <w:sz w:val="21"/>
          <w:szCs w:val="21"/>
          <w:lang w:eastAsia="el-GR"/>
          <w14:ligatures w14:val="none"/>
        </w:rPr>
        <w:t>στρατηγική της για την αειφόρο ανάπτυξη</w:t>
      </w:r>
      <w:r w:rsidRPr="007E0B7F">
        <w:rPr>
          <w:rFonts w:ascii="Helvetica" w:eastAsia="Times New Roman" w:hAnsi="Helvetica" w:cs="Helvetica"/>
          <w:color w:val="1E1E1F"/>
          <w:kern w:val="0"/>
          <w:sz w:val="21"/>
          <w:szCs w:val="21"/>
          <w:lang w:eastAsia="el-GR"/>
          <w14:ligatures w14:val="none"/>
        </w:rPr>
        <w:t> το 2001, προσδίδοντας κατ’ αυτόν τον τρόπο μια περιβαλλοντική διάσταση στη Στρατηγική της Λισαβόνας. Ανταποκρινόμενη στην Ατζέντα του 2030 για τη Βιώσιμη Ανάπτυξη που εγκρίθηκε το 2015, η Επιτροπή δημοσίευσε το 2016 ανακοίνωση με τίτλο «</w:t>
      </w:r>
      <w:hyperlink r:id="rId18" w:history="1">
        <w:r w:rsidRPr="007E0B7F">
          <w:rPr>
            <w:rFonts w:ascii="Helvetica" w:eastAsia="Times New Roman" w:hAnsi="Helvetica" w:cs="Helvetica"/>
            <w:color w:val="3C77BD"/>
            <w:kern w:val="0"/>
            <w:sz w:val="21"/>
            <w:szCs w:val="21"/>
            <w:u w:val="single"/>
            <w:lang w:eastAsia="el-GR"/>
            <w14:ligatures w14:val="none"/>
          </w:rPr>
          <w:t xml:space="preserve">Επόμενα βήματα για ένα βιώσιμο ευρωπαϊκό μέλλον – Ευρωπαϊκή δράση για την </w:t>
        </w:r>
        <w:proofErr w:type="spellStart"/>
        <w:r w:rsidRPr="007E0B7F">
          <w:rPr>
            <w:rFonts w:ascii="Helvetica" w:eastAsia="Times New Roman" w:hAnsi="Helvetica" w:cs="Helvetica"/>
            <w:color w:val="3C77BD"/>
            <w:kern w:val="0"/>
            <w:sz w:val="21"/>
            <w:szCs w:val="21"/>
            <w:u w:val="single"/>
            <w:lang w:eastAsia="el-GR"/>
            <w14:ligatures w14:val="none"/>
          </w:rPr>
          <w:t>αειφορία</w:t>
        </w:r>
        <w:proofErr w:type="spellEnd"/>
      </w:hyperlink>
      <w:r w:rsidRPr="007E0B7F">
        <w:rPr>
          <w:rFonts w:ascii="Helvetica" w:eastAsia="Times New Roman" w:hAnsi="Helvetica" w:cs="Helvetica"/>
          <w:color w:val="1E1E1F"/>
          <w:kern w:val="0"/>
          <w:sz w:val="21"/>
          <w:szCs w:val="21"/>
          <w:lang w:eastAsia="el-GR"/>
          <w14:ligatures w14:val="none"/>
        </w:rPr>
        <w:t>», στην οποία περιγράφεται ο τρόπος ενσωμάτωσης των Στόχων Βιώσιμης Ανάπτυξης (ΣΒΑ) στις προτεραιότητες πολιτικής της ΕΕ.</w:t>
      </w:r>
    </w:p>
    <w:p w14:paraId="4976FA87"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Η βιώσιμη ανάπτυξη κατέστη στόχος προτεραιότητας για τις εσωτερικές και εξωτερικές πολιτικές της ΕΕ και η ΕΕ είναι κορυφαίος παγκόσμιος εταίρος για την υλοποίηση των ΣΒΑ.</w:t>
      </w:r>
    </w:p>
    <w:p w14:paraId="7475EE12"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b/>
          <w:bCs/>
          <w:color w:val="1E1E1F"/>
          <w:kern w:val="0"/>
          <w:sz w:val="21"/>
          <w:szCs w:val="21"/>
          <w:lang w:eastAsia="el-GR"/>
          <w14:ligatures w14:val="none"/>
        </w:rPr>
        <w:t>2.</w:t>
      </w:r>
      <w:r w:rsidRPr="007E0B7F">
        <w:rPr>
          <w:rFonts w:ascii="Helvetica" w:eastAsia="Times New Roman" w:hAnsi="Helvetica" w:cs="Helvetica"/>
          <w:color w:val="1E1E1F"/>
          <w:kern w:val="0"/>
          <w:sz w:val="21"/>
          <w:szCs w:val="21"/>
          <w:lang w:eastAsia="el-GR"/>
          <w14:ligatures w14:val="none"/>
        </w:rPr>
        <w:t> </w:t>
      </w:r>
      <w:proofErr w:type="spellStart"/>
      <w:r w:rsidRPr="007E0B7F">
        <w:rPr>
          <w:rFonts w:ascii="Helvetica" w:eastAsia="Times New Roman" w:hAnsi="Helvetica" w:cs="Helvetica"/>
          <w:color w:val="1E1E1F"/>
          <w:kern w:val="0"/>
          <w:sz w:val="21"/>
          <w:szCs w:val="21"/>
          <w:lang w:eastAsia="el-GR"/>
          <w14:ligatures w14:val="none"/>
        </w:rPr>
        <w:t>Απανθρακοποίηση</w:t>
      </w:r>
      <w:proofErr w:type="spellEnd"/>
    </w:p>
    <w:p w14:paraId="6B3B315B"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Η ΕΕ στοχεύει να έχει γίνει κλιματικά ουδέτερη έως το 2050. Ο στόχος αυτός βρίσκεται στο επίκεντρο της </w:t>
      </w:r>
      <w:hyperlink r:id="rId19" w:history="1">
        <w:r w:rsidRPr="007E0B7F">
          <w:rPr>
            <w:rFonts w:ascii="Helvetica" w:eastAsia="Times New Roman" w:hAnsi="Helvetica" w:cs="Helvetica"/>
            <w:color w:val="3C77BD"/>
            <w:kern w:val="0"/>
            <w:sz w:val="21"/>
            <w:szCs w:val="21"/>
            <w:u w:val="single"/>
            <w:lang w:eastAsia="el-GR"/>
            <w14:ligatures w14:val="none"/>
          </w:rPr>
          <w:t>Ευρωπαϊκής Πράσινης Συμφωνίας</w:t>
        </w:r>
      </w:hyperlink>
      <w:r w:rsidRPr="007E0B7F">
        <w:rPr>
          <w:rFonts w:ascii="Helvetica" w:eastAsia="Times New Roman" w:hAnsi="Helvetica" w:cs="Helvetica"/>
          <w:color w:val="1E1E1F"/>
          <w:kern w:val="0"/>
          <w:sz w:val="21"/>
          <w:szCs w:val="21"/>
          <w:lang w:eastAsia="el-GR"/>
          <w14:ligatures w14:val="none"/>
        </w:rPr>
        <w:t>, η οποία δρομολογήθηκε το 2019 και καθορίζει ένα σχέδιο για τον μετασχηματισμό της οικονομίας, της ενέργειας, των μεταφορών και των βιομηχανιών της Ευρώπης για ένα πιο βιώσιμο μέλλον. Ο </w:t>
      </w:r>
      <w:hyperlink r:id="rId20" w:history="1">
        <w:r w:rsidRPr="007E0B7F">
          <w:rPr>
            <w:rFonts w:ascii="Helvetica" w:eastAsia="Times New Roman" w:hAnsi="Helvetica" w:cs="Helvetica"/>
            <w:color w:val="3C77BD"/>
            <w:kern w:val="0"/>
            <w:sz w:val="21"/>
            <w:szCs w:val="21"/>
            <w:u w:val="single"/>
            <w:lang w:eastAsia="el-GR"/>
            <w14:ligatures w14:val="none"/>
          </w:rPr>
          <w:t>ευρωπαϊκός νόμος για το κλίμα</w:t>
        </w:r>
      </w:hyperlink>
      <w:r w:rsidRPr="007E0B7F">
        <w:rPr>
          <w:rFonts w:ascii="Helvetica" w:eastAsia="Times New Roman" w:hAnsi="Helvetica" w:cs="Helvetica"/>
          <w:color w:val="1E1E1F"/>
          <w:kern w:val="0"/>
          <w:sz w:val="21"/>
          <w:szCs w:val="21"/>
          <w:lang w:eastAsia="el-GR"/>
          <w14:ligatures w14:val="none"/>
        </w:rPr>
        <w:t>, που εγκρίθηκε το 2021, μετουσίωσε τον στόχο αυτό σε νόμο θέτοντας έναν νομικά δεσμευτικό στόχο σε επίπεδο ΕΕ για κλιματική ουδετερότητα ή μηδενικές εκπομπές αερίων του θερμοκηπίου έως το 2050. Επιδιώκει να διασφαλίσει ότι όλες οι πολιτικές της ΕΕ στηρίζουν αυτόν τον στόχο και ότι όλοι οι τομείς της οικονομίας και της κοινωνίας συμβάλλουν εξίσου στην επίτευξή του. Ως ενδιάμεσο βήμα, η ΕΕ έχει θέσει ως στόχο για το 2030 τη μείωση των καθαρών εκπομπών αερίων του θερμοκηπίου κατά τουλάχιστον 55% σε σύγκριση με τα επίπεδα του 1990. Οι διαπραγματεύσεις για τους στόχους για το 2040 βρίσκονται σε εξέλιξη. Το 2023 η ΕΕ ενέκρινε τη </w:t>
      </w:r>
      <w:hyperlink r:id="rId21" w:history="1">
        <w:r w:rsidRPr="007E0B7F">
          <w:rPr>
            <w:rFonts w:ascii="Helvetica" w:eastAsia="Times New Roman" w:hAnsi="Helvetica" w:cs="Helvetica"/>
            <w:color w:val="3C77BD"/>
            <w:kern w:val="0"/>
            <w:sz w:val="21"/>
            <w:szCs w:val="21"/>
            <w:u w:val="single"/>
            <w:lang w:eastAsia="el-GR"/>
            <w14:ligatures w14:val="none"/>
          </w:rPr>
          <w:t>δέσμη μέτρων προσαρμογής στον στόχο του 55%</w:t>
        </w:r>
      </w:hyperlink>
      <w:r w:rsidRPr="007E0B7F">
        <w:rPr>
          <w:rFonts w:ascii="Helvetica" w:eastAsia="Times New Roman" w:hAnsi="Helvetica" w:cs="Helvetica"/>
          <w:color w:val="1E1E1F"/>
          <w:kern w:val="0"/>
          <w:sz w:val="21"/>
          <w:szCs w:val="21"/>
          <w:lang w:eastAsia="el-GR"/>
          <w14:ligatures w14:val="none"/>
        </w:rPr>
        <w:t>, ένα σύνολο προτάσεων με τις οποίες αναθεωρήθηκαν όλα τα μέσα πολιτικής που είναι σημαντικά για την επίτευξη του κλιματικού στόχου για το 2030. Τον Φεβρουάριο του 2025, παρουσιάστηκε η </w:t>
      </w:r>
      <w:hyperlink r:id="rId22" w:history="1">
        <w:r w:rsidRPr="007E0B7F">
          <w:rPr>
            <w:rFonts w:ascii="Helvetica" w:eastAsia="Times New Roman" w:hAnsi="Helvetica" w:cs="Helvetica"/>
            <w:color w:val="3C77BD"/>
            <w:kern w:val="0"/>
            <w:sz w:val="21"/>
            <w:szCs w:val="21"/>
            <w:u w:val="single"/>
            <w:lang w:eastAsia="el-GR"/>
            <w14:ligatures w14:val="none"/>
          </w:rPr>
          <w:t>συμφωνία για καθαρή βιομηχανία</w:t>
        </w:r>
      </w:hyperlink>
      <w:r w:rsidRPr="007E0B7F">
        <w:rPr>
          <w:rFonts w:ascii="Helvetica" w:eastAsia="Times New Roman" w:hAnsi="Helvetica" w:cs="Helvetica"/>
          <w:color w:val="1E1E1F"/>
          <w:kern w:val="0"/>
          <w:sz w:val="21"/>
          <w:szCs w:val="21"/>
          <w:lang w:eastAsia="el-GR"/>
          <w14:ligatures w14:val="none"/>
        </w:rPr>
        <w:t xml:space="preserve">, ως μέρος της ευρύτερης στρατηγικής του βιομηχανικού σχεδίου της Ευρωπαϊκής Πράσινης Συμφωνίας. Στόχος της είναι να καταστεί η ΕΕ παγκόσμιος ηγέτης στην ανάπτυξη καθαρών τεχνολογιών και στη μείωση των εκπομπών διοξειδίου του άνθρακα, επιδιώκοντας την επίτευξη κλιματικής ουδετερότητας έως το 2050 και τη μετατροπή της </w:t>
      </w:r>
      <w:proofErr w:type="spellStart"/>
      <w:r w:rsidRPr="007E0B7F">
        <w:rPr>
          <w:rFonts w:ascii="Helvetica" w:eastAsia="Times New Roman" w:hAnsi="Helvetica" w:cs="Helvetica"/>
          <w:color w:val="1E1E1F"/>
          <w:kern w:val="0"/>
          <w:sz w:val="21"/>
          <w:szCs w:val="21"/>
          <w:lang w:eastAsia="el-GR"/>
          <w14:ligatures w14:val="none"/>
        </w:rPr>
        <w:t>απανθρακοποίησης</w:t>
      </w:r>
      <w:proofErr w:type="spellEnd"/>
      <w:r w:rsidRPr="007E0B7F">
        <w:rPr>
          <w:rFonts w:ascii="Helvetica" w:eastAsia="Times New Roman" w:hAnsi="Helvetica" w:cs="Helvetica"/>
          <w:color w:val="1E1E1F"/>
          <w:kern w:val="0"/>
          <w:sz w:val="21"/>
          <w:szCs w:val="21"/>
          <w:lang w:eastAsia="el-GR"/>
          <w14:ligatures w14:val="none"/>
        </w:rPr>
        <w:t xml:space="preserve"> σε κινητήρια δύναμη για ανάπτυξη.</w:t>
      </w:r>
    </w:p>
    <w:p w14:paraId="58E163F9"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b/>
          <w:bCs/>
          <w:color w:val="1E1E1F"/>
          <w:kern w:val="0"/>
          <w:sz w:val="21"/>
          <w:szCs w:val="21"/>
          <w:lang w:eastAsia="el-GR"/>
          <w14:ligatures w14:val="none"/>
        </w:rPr>
        <w:t>3.</w:t>
      </w:r>
      <w:r w:rsidRPr="007E0B7F">
        <w:rPr>
          <w:rFonts w:ascii="Helvetica" w:eastAsia="Times New Roman" w:hAnsi="Helvetica" w:cs="Helvetica"/>
          <w:color w:val="1E1E1F"/>
          <w:kern w:val="0"/>
          <w:sz w:val="21"/>
          <w:szCs w:val="21"/>
          <w:lang w:eastAsia="el-GR"/>
          <w14:ligatures w14:val="none"/>
        </w:rPr>
        <w:t> Βιοποικιλότητα</w:t>
      </w:r>
    </w:p>
    <w:p w14:paraId="59C5214B"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 xml:space="preserve">Το 2011 η ΕΕ ενέκρινε τη στρατηγική της για τη βιοποικιλότητα με ορίζοντα το 2020, αντικατοπτρίζοντας τις δεσμεύσεις που αναλήφθηκαν στο πλαίσιο της Σύμβασης των Ηνωμένων Εθνών για τη βιολογική ποικιλότητα, της κύριας διεθνούς συμφωνίας για τη </w:t>
      </w:r>
      <w:r w:rsidRPr="007E0B7F">
        <w:rPr>
          <w:rFonts w:ascii="Helvetica" w:eastAsia="Times New Roman" w:hAnsi="Helvetica" w:cs="Helvetica"/>
          <w:color w:val="1E1E1F"/>
          <w:kern w:val="0"/>
          <w:sz w:val="21"/>
          <w:szCs w:val="21"/>
          <w:lang w:eastAsia="el-GR"/>
          <w14:ligatures w14:val="none"/>
        </w:rPr>
        <w:lastRenderedPageBreak/>
        <w:t>βιοποικιλότητα στην οποία η ΕΕ είναι συμβαλλόμενο μέρος. Η Επιτροπή παρουσίασε τη </w:t>
      </w:r>
      <w:hyperlink r:id="rId23" w:history="1">
        <w:r w:rsidRPr="007E0B7F">
          <w:rPr>
            <w:rFonts w:ascii="Helvetica" w:eastAsia="Times New Roman" w:hAnsi="Helvetica" w:cs="Helvetica"/>
            <w:color w:val="3C77BD"/>
            <w:kern w:val="0"/>
            <w:sz w:val="21"/>
            <w:szCs w:val="21"/>
            <w:u w:val="single"/>
            <w:lang w:eastAsia="el-GR"/>
            <w14:ligatures w14:val="none"/>
          </w:rPr>
          <w:t>στρατηγική της για τη βιοποικιλότητα με ορίζοντα το 2030</w:t>
        </w:r>
      </w:hyperlink>
      <w:r w:rsidRPr="007E0B7F">
        <w:rPr>
          <w:rFonts w:ascii="Helvetica" w:eastAsia="Times New Roman" w:hAnsi="Helvetica" w:cs="Helvetica"/>
          <w:color w:val="1E1E1F"/>
          <w:kern w:val="0"/>
          <w:sz w:val="21"/>
          <w:szCs w:val="21"/>
          <w:lang w:eastAsia="el-GR"/>
          <w14:ligatures w14:val="none"/>
        </w:rPr>
        <w:t> τον Μάιο του 2020, ως μέρος της Ευρωπαϊκής Πράσινης Συμφωνίας. Πρόκειται για ένα ολοκληρωμένο, φιλόδοξο και μακροπρόθεσμο σχέδιο για την προστασία της φύσης και την αντιστροφή της υποβάθμισης των οικοσυστημάτων. Σύμφωνα με το </w:t>
      </w:r>
      <w:hyperlink r:id="rId24" w:history="1">
        <w:r w:rsidRPr="007E0B7F">
          <w:rPr>
            <w:rFonts w:ascii="Helvetica" w:eastAsia="Times New Roman" w:hAnsi="Helvetica" w:cs="Helvetica"/>
            <w:color w:val="3C77BD"/>
            <w:kern w:val="0"/>
            <w:sz w:val="21"/>
            <w:szCs w:val="21"/>
            <w:u w:val="single"/>
            <w:lang w:eastAsia="el-GR"/>
            <w14:ligatures w14:val="none"/>
          </w:rPr>
          <w:t>εργαλείο της Επιτροπής παρακολούθησης δράσεων</w:t>
        </w:r>
      </w:hyperlink>
      <w:r w:rsidRPr="007E0B7F">
        <w:rPr>
          <w:rFonts w:ascii="Helvetica" w:eastAsia="Times New Roman" w:hAnsi="Helvetica" w:cs="Helvetica"/>
          <w:color w:val="1E1E1F"/>
          <w:kern w:val="0"/>
          <w:sz w:val="21"/>
          <w:szCs w:val="21"/>
          <w:lang w:eastAsia="el-GR"/>
          <w14:ligatures w14:val="none"/>
        </w:rPr>
        <w:t>, 51 δράσεις της στρατηγικής της ΕΕ για τη βιοποικιλότητα έχουν ολοκληρωθεί μέχρι σήμερα, 44 βρίσκονται σε εξέλιξη και 9 έχουν καθυστερήσει.</w:t>
      </w:r>
    </w:p>
    <w:p w14:paraId="7A9B3247"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 xml:space="preserve">Τον Ιούνιο του 2024, οι </w:t>
      </w:r>
      <w:proofErr w:type="spellStart"/>
      <w:r w:rsidRPr="007E0B7F">
        <w:rPr>
          <w:rFonts w:ascii="Helvetica" w:eastAsia="Times New Roman" w:hAnsi="Helvetica" w:cs="Helvetica"/>
          <w:color w:val="1E1E1F"/>
          <w:kern w:val="0"/>
          <w:sz w:val="21"/>
          <w:szCs w:val="21"/>
          <w:lang w:eastAsia="el-GR"/>
          <w14:ligatures w14:val="none"/>
        </w:rPr>
        <w:t>συννομοθέτες</w:t>
      </w:r>
      <w:proofErr w:type="spellEnd"/>
      <w:r w:rsidRPr="007E0B7F">
        <w:rPr>
          <w:rFonts w:ascii="Helvetica" w:eastAsia="Times New Roman" w:hAnsi="Helvetica" w:cs="Helvetica"/>
          <w:color w:val="1E1E1F"/>
          <w:kern w:val="0"/>
          <w:sz w:val="21"/>
          <w:szCs w:val="21"/>
          <w:lang w:eastAsia="el-GR"/>
          <w14:ligatures w14:val="none"/>
        </w:rPr>
        <w:t xml:space="preserve"> ενέκριναν το νομοθέτημα για την αποκατάσταση της φύσης (</w:t>
      </w:r>
      <w:hyperlink r:id="rId25" w:history="1">
        <w:r w:rsidRPr="007E0B7F">
          <w:rPr>
            <w:rFonts w:ascii="Helvetica" w:eastAsia="Times New Roman" w:hAnsi="Helvetica" w:cs="Helvetica"/>
            <w:color w:val="3C77BD"/>
            <w:kern w:val="0"/>
            <w:sz w:val="21"/>
            <w:szCs w:val="21"/>
            <w:u w:val="single"/>
            <w:lang w:eastAsia="el-GR"/>
            <w14:ligatures w14:val="none"/>
          </w:rPr>
          <w:t>κανονισμός (ΕΕ) 2024/1991</w:t>
        </w:r>
      </w:hyperlink>
      <w:r w:rsidRPr="007E0B7F">
        <w:rPr>
          <w:rFonts w:ascii="Helvetica" w:eastAsia="Times New Roman" w:hAnsi="Helvetica" w:cs="Helvetica"/>
          <w:color w:val="1E1E1F"/>
          <w:kern w:val="0"/>
          <w:sz w:val="21"/>
          <w:szCs w:val="21"/>
          <w:lang w:eastAsia="el-GR"/>
          <w14:ligatures w14:val="none"/>
        </w:rPr>
        <w:t>), ο οποίος στοχεύει στην αποκατάσταση τουλάχιστον του 30 % των χερσαίων και θαλάσσιων περιοχών της ΕΕ έως το 2030 και του 90 % όλων των οικοσυστημάτων που χρήζουν αποκατάστασης έως το 2050.</w:t>
      </w:r>
    </w:p>
    <w:p w14:paraId="2EE4CD8C"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b/>
          <w:bCs/>
          <w:color w:val="1E1E1F"/>
          <w:kern w:val="0"/>
          <w:sz w:val="21"/>
          <w:szCs w:val="21"/>
          <w:lang w:eastAsia="el-GR"/>
          <w14:ligatures w14:val="none"/>
        </w:rPr>
        <w:t>4.</w:t>
      </w:r>
      <w:r w:rsidRPr="007E0B7F">
        <w:rPr>
          <w:rFonts w:ascii="Helvetica" w:eastAsia="Times New Roman" w:hAnsi="Helvetica" w:cs="Helvetica"/>
          <w:color w:val="1E1E1F"/>
          <w:kern w:val="0"/>
          <w:sz w:val="21"/>
          <w:szCs w:val="21"/>
          <w:lang w:eastAsia="el-GR"/>
          <w14:ligatures w14:val="none"/>
        </w:rPr>
        <w:t> Συστήματα τροφίμων</w:t>
      </w:r>
    </w:p>
    <w:p w14:paraId="1AAE4229"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Στο πλαίσιο της Ευρωπαϊκής Πράσινης Συμφωνίας, η Ευρωπαϊκή Επιτροπή παρουσίασε τον Μάιο του 2020 τη στρατηγική της </w:t>
      </w:r>
      <w:hyperlink r:id="rId26" w:history="1">
        <w:r w:rsidRPr="007E0B7F">
          <w:rPr>
            <w:rFonts w:ascii="Helvetica" w:eastAsia="Times New Roman" w:hAnsi="Helvetica" w:cs="Helvetica"/>
            <w:color w:val="3C77BD"/>
            <w:kern w:val="0"/>
            <w:sz w:val="21"/>
            <w:szCs w:val="21"/>
            <w:u w:val="single"/>
            <w:lang w:eastAsia="el-GR"/>
            <w14:ligatures w14:val="none"/>
          </w:rPr>
          <w:t>Από το αγρόκτημα στο πιάτο</w:t>
        </w:r>
      </w:hyperlink>
      <w:r w:rsidRPr="007E0B7F">
        <w:rPr>
          <w:rFonts w:ascii="Helvetica" w:eastAsia="Times New Roman" w:hAnsi="Helvetica" w:cs="Helvetica"/>
          <w:color w:val="1E1E1F"/>
          <w:kern w:val="0"/>
          <w:sz w:val="21"/>
          <w:szCs w:val="21"/>
          <w:lang w:eastAsia="el-GR"/>
          <w14:ligatures w14:val="none"/>
        </w:rPr>
        <w:t>, η οποία έχει ως στόχο να καταστήσει τα συστήματα τροφίμων δίκαια, υγιεινά και φιλικά προς το περιβάλλον.</w:t>
      </w:r>
    </w:p>
    <w:p w14:paraId="2A2CF19E"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Στις 19 Φεβρουαρίου 2025, η Επιτροπή παρουσίασε ανακοίνωση με τίτλο «</w:t>
      </w:r>
      <w:hyperlink r:id="rId27" w:history="1">
        <w:r w:rsidRPr="007E0B7F">
          <w:rPr>
            <w:rFonts w:ascii="Helvetica" w:eastAsia="Times New Roman" w:hAnsi="Helvetica" w:cs="Helvetica"/>
            <w:color w:val="3C77BD"/>
            <w:kern w:val="0"/>
            <w:sz w:val="21"/>
            <w:szCs w:val="21"/>
            <w:u w:val="single"/>
            <w:lang w:eastAsia="el-GR"/>
            <w14:ligatures w14:val="none"/>
          </w:rPr>
          <w:t>Όραμα για τη γεωργία και τα τρόφιμα</w:t>
        </w:r>
      </w:hyperlink>
      <w:r w:rsidRPr="007E0B7F">
        <w:rPr>
          <w:rFonts w:ascii="Helvetica" w:eastAsia="Times New Roman" w:hAnsi="Helvetica" w:cs="Helvetica"/>
          <w:color w:val="1E1E1F"/>
          <w:kern w:val="0"/>
          <w:sz w:val="21"/>
          <w:szCs w:val="21"/>
          <w:lang w:eastAsia="el-GR"/>
          <w14:ligatures w14:val="none"/>
        </w:rPr>
        <w:t>». Το έγγραφο δεσμεύεται ότι η ΕΕ θα συνεχίσει να συνεργάζεται με βασικούς διεθνείς οργανισμούς για την ενίσχυση της εφαρμογής των διεθνώς συμφωνημένων δεσμεύσεων και την αύξηση της φιλοδοξίας τους για την επίτευξη παγκόσμιων βιώσιμων συστημάτων τροφίμων σύμφωνα με την Ατζέντα του 2030 και τους ΣΒΑ.</w:t>
      </w:r>
    </w:p>
    <w:p w14:paraId="193E0242"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b/>
          <w:bCs/>
          <w:color w:val="1E1E1F"/>
          <w:kern w:val="0"/>
          <w:sz w:val="21"/>
          <w:szCs w:val="21"/>
          <w:lang w:eastAsia="el-GR"/>
          <w14:ligatures w14:val="none"/>
        </w:rPr>
        <w:t>5.</w:t>
      </w:r>
      <w:r w:rsidRPr="007E0B7F">
        <w:rPr>
          <w:rFonts w:ascii="Helvetica" w:eastAsia="Times New Roman" w:hAnsi="Helvetica" w:cs="Helvetica"/>
          <w:color w:val="1E1E1F"/>
          <w:kern w:val="0"/>
          <w:sz w:val="21"/>
          <w:szCs w:val="21"/>
          <w:lang w:eastAsia="el-GR"/>
          <w14:ligatures w14:val="none"/>
        </w:rPr>
        <w:t> Διαχείριση αποβλήτων</w:t>
      </w:r>
    </w:p>
    <w:p w14:paraId="7AE958DE"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Η </w:t>
      </w:r>
      <w:hyperlink r:id="rId28" w:history="1">
        <w:r w:rsidRPr="007E0B7F">
          <w:rPr>
            <w:rFonts w:ascii="Helvetica" w:eastAsia="Times New Roman" w:hAnsi="Helvetica" w:cs="Helvetica"/>
            <w:color w:val="3C77BD"/>
            <w:kern w:val="0"/>
            <w:sz w:val="21"/>
            <w:szCs w:val="21"/>
            <w:u w:val="single"/>
            <w:lang w:eastAsia="el-GR"/>
            <w14:ligatures w14:val="none"/>
          </w:rPr>
          <w:t>οδηγία-πλαίσιο για τα απόβλητα</w:t>
        </w:r>
      </w:hyperlink>
      <w:r w:rsidRPr="007E0B7F">
        <w:rPr>
          <w:rFonts w:ascii="Helvetica" w:eastAsia="Times New Roman" w:hAnsi="Helvetica" w:cs="Helvetica"/>
          <w:color w:val="1E1E1F"/>
          <w:kern w:val="0"/>
          <w:sz w:val="21"/>
          <w:szCs w:val="21"/>
          <w:lang w:eastAsia="el-GR"/>
          <w14:ligatures w14:val="none"/>
        </w:rPr>
        <w:t> του 2008 ορίζει βασικές έννοιες, όπως τα απόβλητα, η ανακύκλωση και η ανάκτηση, και θέτει βασικές αρχές σύμφωνα με τις οποίες η διαχείριση των αποβλήτων πρέπει να γίνεται χωρίς να τίθεται σε κίνδυνο η ανθρώπινη υγεία ή το περιβάλλον και χωρίς να προκαλούνται οχλήσεις ή ζημίες στη φύση και στις προστατευόμενες περιοχές. Τον Οκτώβριο του 2025 τέθηκαν σε ισχύ </w:t>
      </w:r>
      <w:hyperlink r:id="rId29" w:history="1">
        <w:r w:rsidRPr="007E0B7F">
          <w:rPr>
            <w:rFonts w:ascii="Helvetica" w:eastAsia="Times New Roman" w:hAnsi="Helvetica" w:cs="Helvetica"/>
            <w:color w:val="3C77BD"/>
            <w:kern w:val="0"/>
            <w:sz w:val="21"/>
            <w:szCs w:val="21"/>
            <w:u w:val="single"/>
            <w:lang w:eastAsia="el-GR"/>
            <w14:ligatures w14:val="none"/>
          </w:rPr>
          <w:t>νέοι κανόνες</w:t>
        </w:r>
      </w:hyperlink>
      <w:r w:rsidRPr="007E0B7F">
        <w:rPr>
          <w:rFonts w:ascii="Helvetica" w:eastAsia="Times New Roman" w:hAnsi="Helvetica" w:cs="Helvetica"/>
          <w:color w:val="1E1E1F"/>
          <w:kern w:val="0"/>
          <w:sz w:val="21"/>
          <w:szCs w:val="21"/>
          <w:lang w:eastAsia="el-GR"/>
          <w14:ligatures w14:val="none"/>
        </w:rPr>
        <w:t> για την πρόληψη και τη μείωση της σπατάλης τροφίμων και κλωστοϋφαντουργικών προϊόντων σε ολόκληρη την ΕΕ.</w:t>
      </w:r>
    </w:p>
    <w:p w14:paraId="65033402"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b/>
          <w:bCs/>
          <w:color w:val="1E1E1F"/>
          <w:kern w:val="0"/>
          <w:sz w:val="21"/>
          <w:szCs w:val="21"/>
          <w:lang w:eastAsia="el-GR"/>
          <w14:ligatures w14:val="none"/>
        </w:rPr>
        <w:t>3.</w:t>
      </w:r>
      <w:r w:rsidRPr="007E0B7F">
        <w:rPr>
          <w:rFonts w:ascii="Helvetica" w:eastAsia="Times New Roman" w:hAnsi="Helvetica" w:cs="Helvetica"/>
          <w:color w:val="1E1E1F"/>
          <w:kern w:val="0"/>
          <w:sz w:val="21"/>
          <w:szCs w:val="21"/>
          <w:lang w:eastAsia="el-GR"/>
          <w14:ligatures w14:val="none"/>
        </w:rPr>
        <w:t> Διεθνής συνεργασία σε περιβαλλοντικά θέματα</w:t>
      </w:r>
    </w:p>
    <w:p w14:paraId="46EF1834"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 xml:space="preserve">Η ΕΕ διαδραματίζει κεντρικό ρόλο στις διεθνείς διαπραγματεύσεις για το περιβάλλον. Συμμετέχει σε πολυάριθμες παγκόσμιες, περιφερειακές ή </w:t>
      </w:r>
      <w:proofErr w:type="spellStart"/>
      <w:r w:rsidRPr="007E0B7F">
        <w:rPr>
          <w:rFonts w:ascii="Helvetica" w:eastAsia="Times New Roman" w:hAnsi="Helvetica" w:cs="Helvetica"/>
          <w:color w:val="1E1E1F"/>
          <w:kern w:val="0"/>
          <w:sz w:val="21"/>
          <w:szCs w:val="21"/>
          <w:lang w:eastAsia="el-GR"/>
          <w14:ligatures w14:val="none"/>
        </w:rPr>
        <w:t>υποπεριφερειακές</w:t>
      </w:r>
      <w:proofErr w:type="spellEnd"/>
      <w:r w:rsidRPr="007E0B7F">
        <w:rPr>
          <w:rFonts w:ascii="Helvetica" w:eastAsia="Times New Roman" w:hAnsi="Helvetica" w:cs="Helvetica"/>
          <w:color w:val="1E1E1F"/>
          <w:kern w:val="0"/>
          <w:sz w:val="21"/>
          <w:szCs w:val="21"/>
          <w:lang w:eastAsia="el-GR"/>
          <w14:ligatures w14:val="none"/>
        </w:rPr>
        <w:t xml:space="preserve"> πολυμερείς περιβαλλοντικές συμφωνίες για ευρύ φάσμα ζητημάτων, όπως η προστασία της φύσης και η βιοποικιλότητα, η κλιματική αλλαγή, καθώς και η διασυνοριακή ρύπανση αέρα και υδάτων. Η ΕΕ συνέβαλε στον καθορισμό πολλών σημαντικών διεθνών συμφωνιών που εγκρίθηκαν το 2015 σε επίπεδο Ηνωμένων Εθνών, όπως η </w:t>
      </w:r>
      <w:hyperlink r:id="rId30" w:history="1">
        <w:r w:rsidRPr="007E0B7F">
          <w:rPr>
            <w:rFonts w:ascii="Helvetica" w:eastAsia="Times New Roman" w:hAnsi="Helvetica" w:cs="Helvetica"/>
            <w:color w:val="3C77BD"/>
            <w:kern w:val="0"/>
            <w:sz w:val="21"/>
            <w:szCs w:val="21"/>
            <w:u w:val="single"/>
            <w:lang w:eastAsia="el-GR"/>
            <w14:ligatures w14:val="none"/>
          </w:rPr>
          <w:t>ατζέντα για τη βιώσιμη ανάπτυξη με ορίζοντα το 2030</w:t>
        </w:r>
      </w:hyperlink>
      <w:r w:rsidRPr="007E0B7F">
        <w:rPr>
          <w:rFonts w:ascii="Helvetica" w:eastAsia="Times New Roman" w:hAnsi="Helvetica" w:cs="Helvetica"/>
          <w:color w:val="1E1E1F"/>
          <w:kern w:val="0"/>
          <w:sz w:val="21"/>
          <w:szCs w:val="21"/>
          <w:lang w:eastAsia="el-GR"/>
          <w14:ligatures w14:val="none"/>
        </w:rPr>
        <w:t> (που περιλαμβάνει τους 17 παγκόσμιους ΣΒΑ και τους 169 συνδεδεμένους στόχους τους), η </w:t>
      </w:r>
      <w:hyperlink r:id="rId31" w:history="1">
        <w:r w:rsidRPr="007E0B7F">
          <w:rPr>
            <w:rFonts w:ascii="Helvetica" w:eastAsia="Times New Roman" w:hAnsi="Helvetica" w:cs="Helvetica"/>
            <w:color w:val="3C77BD"/>
            <w:kern w:val="0"/>
            <w:sz w:val="21"/>
            <w:szCs w:val="21"/>
            <w:u w:val="single"/>
            <w:lang w:eastAsia="el-GR"/>
            <w14:ligatures w14:val="none"/>
          </w:rPr>
          <w:t>συμφωνία του Παρισιού για την κλιματική αλλαγή</w:t>
        </w:r>
      </w:hyperlink>
      <w:r w:rsidRPr="007E0B7F">
        <w:rPr>
          <w:rFonts w:ascii="Helvetica" w:eastAsia="Times New Roman" w:hAnsi="Helvetica" w:cs="Helvetica"/>
          <w:color w:val="1E1E1F"/>
          <w:kern w:val="0"/>
          <w:sz w:val="21"/>
          <w:szCs w:val="21"/>
          <w:lang w:eastAsia="el-GR"/>
          <w14:ligatures w14:val="none"/>
        </w:rPr>
        <w:t> και το </w:t>
      </w:r>
      <w:hyperlink r:id="rId32" w:history="1">
        <w:r w:rsidRPr="007E0B7F">
          <w:rPr>
            <w:rFonts w:ascii="Helvetica" w:eastAsia="Times New Roman" w:hAnsi="Helvetica" w:cs="Helvetica"/>
            <w:color w:val="3C77BD"/>
            <w:kern w:val="0"/>
            <w:sz w:val="21"/>
            <w:szCs w:val="21"/>
            <w:u w:val="single"/>
            <w:lang w:eastAsia="el-GR"/>
            <w14:ligatures w14:val="none"/>
          </w:rPr>
          <w:t xml:space="preserve">πλαίσιο </w:t>
        </w:r>
        <w:proofErr w:type="spellStart"/>
        <w:r w:rsidRPr="007E0B7F">
          <w:rPr>
            <w:rFonts w:ascii="Helvetica" w:eastAsia="Times New Roman" w:hAnsi="Helvetica" w:cs="Helvetica"/>
            <w:color w:val="3C77BD"/>
            <w:kern w:val="0"/>
            <w:sz w:val="21"/>
            <w:szCs w:val="21"/>
            <w:u w:val="single"/>
            <w:lang w:eastAsia="el-GR"/>
            <w14:ligatures w14:val="none"/>
          </w:rPr>
          <w:t>Σεντάι</w:t>
        </w:r>
        <w:proofErr w:type="spellEnd"/>
        <w:r w:rsidRPr="007E0B7F">
          <w:rPr>
            <w:rFonts w:ascii="Helvetica" w:eastAsia="Times New Roman" w:hAnsi="Helvetica" w:cs="Helvetica"/>
            <w:color w:val="3C77BD"/>
            <w:kern w:val="0"/>
            <w:sz w:val="21"/>
            <w:szCs w:val="21"/>
            <w:u w:val="single"/>
            <w:lang w:eastAsia="el-GR"/>
            <w14:ligatures w14:val="none"/>
          </w:rPr>
          <w:t xml:space="preserve"> για τη μείωση του κινδύνου καταστροφών</w:t>
        </w:r>
      </w:hyperlink>
      <w:r w:rsidRPr="007E0B7F">
        <w:rPr>
          <w:rFonts w:ascii="Helvetica" w:eastAsia="Times New Roman" w:hAnsi="Helvetica" w:cs="Helvetica"/>
          <w:color w:val="1E1E1F"/>
          <w:kern w:val="0"/>
          <w:sz w:val="21"/>
          <w:szCs w:val="21"/>
          <w:lang w:eastAsia="el-GR"/>
          <w14:ligatures w14:val="none"/>
        </w:rPr>
        <w:t>. Η Ένωση επίσης συμβλήθηκε ως μέρος στον κανονισμό για το διεθνές εμπόριο ειδών άγριας πανίδας και χλωρίδας που απειλούνται με εξαφάνιση (</w:t>
      </w:r>
      <w:hyperlink r:id="rId33" w:history="1">
        <w:r w:rsidRPr="007E0B7F">
          <w:rPr>
            <w:rFonts w:ascii="Helvetica" w:eastAsia="Times New Roman" w:hAnsi="Helvetica" w:cs="Helvetica"/>
            <w:color w:val="3C77BD"/>
            <w:kern w:val="0"/>
            <w:sz w:val="21"/>
            <w:szCs w:val="21"/>
            <w:u w:val="single"/>
            <w:lang w:eastAsia="el-GR"/>
            <w14:ligatures w14:val="none"/>
          </w:rPr>
          <w:t>CITES</w:t>
        </w:r>
      </w:hyperlink>
      <w:r w:rsidRPr="007E0B7F">
        <w:rPr>
          <w:rFonts w:ascii="Helvetica" w:eastAsia="Times New Roman" w:hAnsi="Helvetica" w:cs="Helvetica"/>
          <w:color w:val="1E1E1F"/>
          <w:kern w:val="0"/>
          <w:sz w:val="21"/>
          <w:szCs w:val="21"/>
          <w:lang w:eastAsia="el-GR"/>
          <w14:ligatures w14:val="none"/>
        </w:rPr>
        <w:t>), υπογραμμίζοντας την αφοσίωσή της στη διατήρηση της βιοποικιλότητας και τον περιορισμό του παράνομου εμπορίου άγριας ζωής. Επιπλέον, η ΕΕ έχει δεσμευτεί για την πλήρη και ταχεία εφαρμογή του </w:t>
      </w:r>
      <w:hyperlink r:id="rId34" w:history="1">
        <w:r w:rsidRPr="007E0B7F">
          <w:rPr>
            <w:rFonts w:ascii="Helvetica" w:eastAsia="Times New Roman" w:hAnsi="Helvetica" w:cs="Helvetica"/>
            <w:color w:val="3C77BD"/>
            <w:kern w:val="0"/>
            <w:sz w:val="21"/>
            <w:szCs w:val="21"/>
            <w:u w:val="single"/>
            <w:lang w:eastAsia="el-GR"/>
            <w14:ligatures w14:val="none"/>
          </w:rPr>
          <w:t xml:space="preserve">παγκόσμιου πλαισίου για τη βιοποικιλότητα </w:t>
        </w:r>
        <w:proofErr w:type="spellStart"/>
        <w:r w:rsidRPr="007E0B7F">
          <w:rPr>
            <w:rFonts w:ascii="Helvetica" w:eastAsia="Times New Roman" w:hAnsi="Helvetica" w:cs="Helvetica"/>
            <w:color w:val="3C77BD"/>
            <w:kern w:val="0"/>
            <w:sz w:val="21"/>
            <w:szCs w:val="21"/>
            <w:u w:val="single"/>
            <w:lang w:eastAsia="el-GR"/>
            <w14:ligatures w14:val="none"/>
          </w:rPr>
          <w:t>Κουνμίνγκ</w:t>
        </w:r>
        <w:proofErr w:type="spellEnd"/>
        <w:r w:rsidRPr="007E0B7F">
          <w:rPr>
            <w:rFonts w:ascii="Helvetica" w:eastAsia="Times New Roman" w:hAnsi="Helvetica" w:cs="Helvetica"/>
            <w:color w:val="3C77BD"/>
            <w:kern w:val="0"/>
            <w:sz w:val="21"/>
            <w:szCs w:val="21"/>
            <w:u w:val="single"/>
            <w:lang w:eastAsia="el-GR"/>
            <w14:ligatures w14:val="none"/>
          </w:rPr>
          <w:t>-Μόντρεαλ</w:t>
        </w:r>
      </w:hyperlink>
      <w:r w:rsidRPr="007E0B7F">
        <w:rPr>
          <w:rFonts w:ascii="Helvetica" w:eastAsia="Times New Roman" w:hAnsi="Helvetica" w:cs="Helvetica"/>
          <w:color w:val="1E1E1F"/>
          <w:kern w:val="0"/>
          <w:sz w:val="21"/>
          <w:szCs w:val="21"/>
          <w:lang w:eastAsia="el-GR"/>
          <w14:ligatures w14:val="none"/>
        </w:rPr>
        <w:t> του 2022, το οποίο αποσκοπεί στην ανάσχεση και την αντιστροφή της απώλειας βιοποικιλότητας έως το 2030.</w:t>
      </w:r>
    </w:p>
    <w:p w14:paraId="5D8056CF"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b/>
          <w:bCs/>
          <w:color w:val="1E1E1F"/>
          <w:kern w:val="0"/>
          <w:sz w:val="21"/>
          <w:szCs w:val="21"/>
          <w:lang w:eastAsia="el-GR"/>
          <w14:ligatures w14:val="none"/>
        </w:rPr>
        <w:t>4.</w:t>
      </w:r>
      <w:r w:rsidRPr="007E0B7F">
        <w:rPr>
          <w:rFonts w:ascii="Helvetica" w:eastAsia="Times New Roman" w:hAnsi="Helvetica" w:cs="Helvetica"/>
          <w:color w:val="1E1E1F"/>
          <w:kern w:val="0"/>
          <w:sz w:val="21"/>
          <w:szCs w:val="21"/>
          <w:lang w:eastAsia="el-GR"/>
          <w14:ligatures w14:val="none"/>
        </w:rPr>
        <w:t> Εκτίμηση περιβαλλοντικών επιπτώσεων και συμμετοχή του κοινού</w:t>
      </w:r>
    </w:p>
    <w:p w14:paraId="1F8F2DD3"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lastRenderedPageBreak/>
        <w:t>Ορισμένα έργα (ιδιωτικά ή δημόσια) που ενδέχεται να έχουν σημαντικές περιβαλλοντικές επιπτώσεις, π.χ. η κατασκευή ενός αυτοκινητόδρομου ή ενός αεροδρομίου, υπόκεινται σε εκτίμηση περιβαλλοντικών επιπτώσεων (</w:t>
      </w:r>
      <w:hyperlink r:id="rId35" w:history="1">
        <w:r w:rsidRPr="007E0B7F">
          <w:rPr>
            <w:rFonts w:ascii="Helvetica" w:eastAsia="Times New Roman" w:hAnsi="Helvetica" w:cs="Helvetica"/>
            <w:color w:val="3C77BD"/>
            <w:kern w:val="0"/>
            <w:sz w:val="21"/>
            <w:szCs w:val="21"/>
            <w:u w:val="single"/>
            <w:lang w:eastAsia="el-GR"/>
            <w14:ligatures w14:val="none"/>
          </w:rPr>
          <w:t>ΕΠΕ</w:t>
        </w:r>
      </w:hyperlink>
      <w:r w:rsidRPr="007E0B7F">
        <w:rPr>
          <w:rFonts w:ascii="Helvetica" w:eastAsia="Times New Roman" w:hAnsi="Helvetica" w:cs="Helvetica"/>
          <w:color w:val="1E1E1F"/>
          <w:kern w:val="0"/>
          <w:sz w:val="21"/>
          <w:szCs w:val="21"/>
          <w:lang w:eastAsia="el-GR"/>
          <w14:ligatures w14:val="none"/>
        </w:rPr>
        <w:t>). Επιπλέον, μια σειρά από δημόσια σχέδια και προγράμματα (π.χ. για τη χρήση της γης, τις μεταφορές, την ενέργεια, τα απόβλητα ή τη γεωργία) υπόκεινται σε ανάλογη διαδικασία γνωστή ως στρατηγική περιβαλλοντική εκτίμηση (</w:t>
      </w:r>
      <w:hyperlink r:id="rId36" w:history="1">
        <w:r w:rsidRPr="007E0B7F">
          <w:rPr>
            <w:rFonts w:ascii="Helvetica" w:eastAsia="Times New Roman" w:hAnsi="Helvetica" w:cs="Helvetica"/>
            <w:color w:val="3C77BD"/>
            <w:kern w:val="0"/>
            <w:sz w:val="21"/>
            <w:szCs w:val="21"/>
            <w:u w:val="single"/>
            <w:lang w:eastAsia="el-GR"/>
            <w14:ligatures w14:val="none"/>
          </w:rPr>
          <w:t>ΣΠΕ</w:t>
        </w:r>
      </w:hyperlink>
      <w:r w:rsidRPr="007E0B7F">
        <w:rPr>
          <w:rFonts w:ascii="Helvetica" w:eastAsia="Times New Roman" w:hAnsi="Helvetica" w:cs="Helvetica"/>
          <w:color w:val="1E1E1F"/>
          <w:kern w:val="0"/>
          <w:sz w:val="21"/>
          <w:szCs w:val="21"/>
          <w:lang w:eastAsia="el-GR"/>
          <w14:ligatures w14:val="none"/>
        </w:rPr>
        <w:t>). Και οι δύο οδηγίες διασφαλίζουν ότι η εκτίμηση των περιβαλλοντικών επιπτώσεων πραγματοποιείται πριν από την έγκριση οποιουδήποτε σχεδίου, προγράμματος ή έργου.</w:t>
      </w:r>
    </w:p>
    <w:p w14:paraId="52DDBD56"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Και στις δυο περιπτώσεις, η διαβούλευση με το κοινό αποτελεί κεντρικό στοιχείο. Αυτό ανάγεται στη </w:t>
      </w:r>
      <w:hyperlink r:id="rId37" w:history="1">
        <w:r w:rsidRPr="007E0B7F">
          <w:rPr>
            <w:rFonts w:ascii="Helvetica" w:eastAsia="Times New Roman" w:hAnsi="Helvetica" w:cs="Helvetica"/>
            <w:color w:val="3C77BD"/>
            <w:kern w:val="0"/>
            <w:sz w:val="21"/>
            <w:szCs w:val="21"/>
            <w:u w:val="single"/>
            <w:lang w:eastAsia="el-GR"/>
            <w14:ligatures w14:val="none"/>
          </w:rPr>
          <w:t xml:space="preserve">σύμβαση του </w:t>
        </w:r>
        <w:proofErr w:type="spellStart"/>
        <w:r w:rsidRPr="007E0B7F">
          <w:rPr>
            <w:rFonts w:ascii="Helvetica" w:eastAsia="Times New Roman" w:hAnsi="Helvetica" w:cs="Helvetica"/>
            <w:color w:val="3C77BD"/>
            <w:kern w:val="0"/>
            <w:sz w:val="21"/>
            <w:szCs w:val="21"/>
            <w:u w:val="single"/>
            <w:lang w:eastAsia="el-GR"/>
            <w14:ligatures w14:val="none"/>
          </w:rPr>
          <w:t>Aarhus</w:t>
        </w:r>
        <w:proofErr w:type="spellEnd"/>
      </w:hyperlink>
      <w:r w:rsidRPr="007E0B7F">
        <w:rPr>
          <w:rFonts w:ascii="Helvetica" w:eastAsia="Times New Roman" w:hAnsi="Helvetica" w:cs="Helvetica"/>
          <w:color w:val="1E1E1F"/>
          <w:kern w:val="0"/>
          <w:sz w:val="21"/>
          <w:szCs w:val="21"/>
          <w:lang w:eastAsia="el-GR"/>
          <w14:ligatures w14:val="none"/>
        </w:rPr>
        <w:t> του 1998, μια πολυμερή περιβαλλοντική συμφωνία στην οποία η ΕΕ και όλα τα κράτη μέλη της είναι συμβαλλόμενα μέρη. Εγγυάται τρία δικαιώματα στο κοινό: συμμετοχή του κοινού στη λήψη αποφάσεων για το περιβάλλον, πρόσβαση στις περιβαλλοντικές πληροφορίες που έχουν στη διάθεσή τους οι δημόσιες αρχές (π.χ. για την κατάσταση του περιβάλλοντος ή για την ανθρώπινη υγεία όταν αυτή επηρεάζεται από την κατάσταση του περιβάλλοντος), και το δικαίωμα πρόσβασης στη δικαιοσύνη όταν τα δύο άλλα δικαιώματα δεν έχουν γίνει σεβαστά. Τα δικαιώματα αυτά έχουν κατοχυρωθεί στη νομοθεσία της ΕΕ μέσω δύο σημαντικών οδηγιών, και συγκεκριμένα των οδηγιών </w:t>
      </w:r>
      <w:hyperlink r:id="rId38" w:history="1">
        <w:r w:rsidRPr="007E0B7F">
          <w:rPr>
            <w:rFonts w:ascii="Helvetica" w:eastAsia="Times New Roman" w:hAnsi="Helvetica" w:cs="Helvetica"/>
            <w:color w:val="3C77BD"/>
            <w:kern w:val="0"/>
            <w:sz w:val="21"/>
            <w:szCs w:val="21"/>
            <w:u w:val="single"/>
            <w:lang w:eastAsia="el-GR"/>
            <w14:ligatures w14:val="none"/>
          </w:rPr>
          <w:t>2003/4/ΕΚ</w:t>
        </w:r>
      </w:hyperlink>
      <w:r w:rsidRPr="007E0B7F">
        <w:rPr>
          <w:rFonts w:ascii="Helvetica" w:eastAsia="Times New Roman" w:hAnsi="Helvetica" w:cs="Helvetica"/>
          <w:color w:val="1E1E1F"/>
          <w:kern w:val="0"/>
          <w:sz w:val="21"/>
          <w:szCs w:val="21"/>
          <w:lang w:eastAsia="el-GR"/>
          <w14:ligatures w14:val="none"/>
        </w:rPr>
        <w:t> και </w:t>
      </w:r>
      <w:hyperlink r:id="rId39" w:history="1">
        <w:r w:rsidRPr="007E0B7F">
          <w:rPr>
            <w:rFonts w:ascii="Helvetica" w:eastAsia="Times New Roman" w:hAnsi="Helvetica" w:cs="Helvetica"/>
            <w:color w:val="3C77BD"/>
            <w:kern w:val="0"/>
            <w:sz w:val="21"/>
            <w:szCs w:val="21"/>
            <w:u w:val="single"/>
            <w:lang w:eastAsia="el-GR"/>
            <w14:ligatures w14:val="none"/>
          </w:rPr>
          <w:t>2003/35/ΕΚ</w:t>
        </w:r>
      </w:hyperlink>
      <w:r w:rsidRPr="007E0B7F">
        <w:rPr>
          <w:rFonts w:ascii="Helvetica" w:eastAsia="Times New Roman" w:hAnsi="Helvetica" w:cs="Helvetica"/>
          <w:color w:val="1E1E1F"/>
          <w:kern w:val="0"/>
          <w:sz w:val="21"/>
          <w:szCs w:val="21"/>
          <w:lang w:eastAsia="el-GR"/>
          <w14:ligatures w14:val="none"/>
        </w:rPr>
        <w:t>.</w:t>
      </w:r>
    </w:p>
    <w:p w14:paraId="1FB5633C"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b/>
          <w:bCs/>
          <w:color w:val="1E1E1F"/>
          <w:kern w:val="0"/>
          <w:sz w:val="21"/>
          <w:szCs w:val="21"/>
          <w:lang w:eastAsia="el-GR"/>
          <w14:ligatures w14:val="none"/>
        </w:rPr>
        <w:t>5.</w:t>
      </w:r>
      <w:r w:rsidRPr="007E0B7F">
        <w:rPr>
          <w:rFonts w:ascii="Helvetica" w:eastAsia="Times New Roman" w:hAnsi="Helvetica" w:cs="Helvetica"/>
          <w:color w:val="1E1E1F"/>
          <w:kern w:val="0"/>
          <w:sz w:val="21"/>
          <w:szCs w:val="21"/>
          <w:lang w:eastAsia="el-GR"/>
          <w14:ligatures w14:val="none"/>
        </w:rPr>
        <w:t> Εφαρμογή, επιβολή του νόμου και εποπτεία</w:t>
      </w:r>
    </w:p>
    <w:p w14:paraId="0CACCA38"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Η αποτελεσματικότητα μιας περιβαλλοντικής πολιτικής της ΕΕ καθορίζεται σε μεγάλο βαθμό από την εφαρμογή της σε εθνικό, περιφερειακό και τοπικό επίπεδο. Η ανεπαρκής εφαρμογή και επιβολή της νομοθεσίας παραμένει ένα σοβαρό ζήτημα. Ζωτικής σημασίας είναι η εποπτεία τόσο της κατάστασης του περιβάλλοντος όσο και του επιπέδου εφαρμογής της περιβαλλοντικής νομοθεσίας της ΕΕ.</w:t>
      </w:r>
    </w:p>
    <w:p w14:paraId="5BD67C84"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Τον Μάιο του 2024 τέθηκε σε ισχύ η νέα </w:t>
      </w:r>
      <w:hyperlink r:id="rId40" w:history="1">
        <w:r w:rsidRPr="007E0B7F">
          <w:rPr>
            <w:rFonts w:ascii="Helvetica" w:eastAsia="Times New Roman" w:hAnsi="Helvetica" w:cs="Helvetica"/>
            <w:color w:val="3C77BD"/>
            <w:kern w:val="0"/>
            <w:sz w:val="21"/>
            <w:szCs w:val="21"/>
            <w:u w:val="single"/>
            <w:lang w:eastAsia="el-GR"/>
            <w14:ligatures w14:val="none"/>
          </w:rPr>
          <w:t>οδηγία για το περιβαλλοντικό έγκλημα</w:t>
        </w:r>
      </w:hyperlink>
      <w:r w:rsidRPr="007E0B7F">
        <w:rPr>
          <w:rFonts w:ascii="Helvetica" w:eastAsia="Times New Roman" w:hAnsi="Helvetica" w:cs="Helvetica"/>
          <w:color w:val="1E1E1F"/>
          <w:kern w:val="0"/>
          <w:sz w:val="21"/>
          <w:szCs w:val="21"/>
          <w:lang w:eastAsia="el-GR"/>
          <w14:ligatures w14:val="none"/>
        </w:rPr>
        <w:t xml:space="preserve">. Εξετάζει δραστηριότητες που παραβιάζουν σχετικές νομικές υποχρεώσεις, όπως τα εγκλήματα εις βάρος άγριων ειδών και η υποβάθμιση των </w:t>
      </w:r>
      <w:proofErr w:type="spellStart"/>
      <w:r w:rsidRPr="007E0B7F">
        <w:rPr>
          <w:rFonts w:ascii="Helvetica" w:eastAsia="Times New Roman" w:hAnsi="Helvetica" w:cs="Helvetica"/>
          <w:color w:val="1E1E1F"/>
          <w:kern w:val="0"/>
          <w:sz w:val="21"/>
          <w:szCs w:val="21"/>
          <w:lang w:eastAsia="el-GR"/>
          <w14:ligatures w14:val="none"/>
        </w:rPr>
        <w:t>οικοτόπων</w:t>
      </w:r>
      <w:proofErr w:type="spellEnd"/>
      <w:r w:rsidRPr="007E0B7F">
        <w:rPr>
          <w:rFonts w:ascii="Helvetica" w:eastAsia="Times New Roman" w:hAnsi="Helvetica" w:cs="Helvetica"/>
          <w:color w:val="1E1E1F"/>
          <w:kern w:val="0"/>
          <w:sz w:val="21"/>
          <w:szCs w:val="21"/>
          <w:lang w:eastAsia="el-GR"/>
          <w14:ligatures w14:val="none"/>
        </w:rPr>
        <w:t>, η παράνομη μεταφορά ή απόρριψη αποβλήτων, τα εγκλήματα ρύπανσης και η παράνομη εμπορία επικίνδυνων ουσιών.</w:t>
      </w:r>
    </w:p>
    <w:p w14:paraId="4E73BA4E"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Το δίκτυο της Ευρωπαϊκής Ένωσης για την εφαρμογή και την επιβολή του δικαίου του περιβάλλοντος (</w:t>
      </w:r>
      <w:hyperlink r:id="rId41" w:anchor=":~:text=The%20European%20Union%20Network%20for,candidates%20to%20join%20the%20European" w:history="1">
        <w:r w:rsidRPr="007E0B7F">
          <w:rPr>
            <w:rFonts w:ascii="Helvetica" w:eastAsia="Times New Roman" w:hAnsi="Helvetica" w:cs="Helvetica"/>
            <w:color w:val="3C77BD"/>
            <w:kern w:val="0"/>
            <w:sz w:val="21"/>
            <w:szCs w:val="21"/>
            <w:u w:val="single"/>
            <w:lang w:eastAsia="el-GR"/>
            <w14:ligatures w14:val="none"/>
          </w:rPr>
          <w:t>IMPEL</w:t>
        </w:r>
      </w:hyperlink>
      <w:r w:rsidRPr="007E0B7F">
        <w:rPr>
          <w:rFonts w:ascii="Helvetica" w:eastAsia="Times New Roman" w:hAnsi="Helvetica" w:cs="Helvetica"/>
          <w:color w:val="1E1E1F"/>
          <w:kern w:val="0"/>
          <w:sz w:val="21"/>
          <w:szCs w:val="21"/>
          <w:lang w:eastAsia="el-GR"/>
          <w14:ligatures w14:val="none"/>
        </w:rPr>
        <w:t>) είναι ένα διεθνές δίκτυο των περιβαλλοντικών αρχών που δημιουργήθηκε για να προωθήσει την επιβολή της νομοθεσίας, προσφέροντας μια πλατφόρμα στους υπευθύνους χάραξης πολιτικής, στους περιβαλλοντικούς επιθεωρητές και στους αρμοδίους για την επιβολή της νομοθεσίας, ώστε να ανταλλάσσουν ιδέες και βέλτιστες πρακτικές.</w:t>
      </w:r>
    </w:p>
    <w:p w14:paraId="48BF20D2"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Τον Μάιο του 2016, η Επιτροπή ξεκίνησε την </w:t>
      </w:r>
      <w:hyperlink r:id="rId42" w:history="1">
        <w:r w:rsidRPr="007E0B7F">
          <w:rPr>
            <w:rFonts w:ascii="Helvetica" w:eastAsia="Times New Roman" w:hAnsi="Helvetica" w:cs="Helvetica"/>
            <w:color w:val="3C77BD"/>
            <w:kern w:val="0"/>
            <w:sz w:val="21"/>
            <w:szCs w:val="21"/>
            <w:u w:val="single"/>
            <w:lang w:eastAsia="el-GR"/>
            <w14:ligatures w14:val="none"/>
          </w:rPr>
          <w:t>επισκόπηση της εφαρμογής της περιβαλλοντικής πολιτικής</w:t>
        </w:r>
      </w:hyperlink>
      <w:r w:rsidRPr="007E0B7F">
        <w:rPr>
          <w:rFonts w:ascii="Helvetica" w:eastAsia="Times New Roman" w:hAnsi="Helvetica" w:cs="Helvetica"/>
          <w:color w:val="1E1E1F"/>
          <w:kern w:val="0"/>
          <w:sz w:val="21"/>
          <w:szCs w:val="21"/>
          <w:lang w:eastAsia="el-GR"/>
          <w14:ligatures w14:val="none"/>
        </w:rPr>
        <w:t> ένα τακτικό εργαλείο παρακολούθησης για τη βελτίωση της εφαρμογή της περιβαλλοντικής νομοθεσίας και των περιβαλλοντικών πολιτικών της ΕΕ στα κράτη μέλη της ΕΕ.</w:t>
      </w:r>
    </w:p>
    <w:p w14:paraId="675AF400"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Το 1990, ιδρύθηκε στην Κοπεγχάγη ο Ευρωπαϊκός Οργανισμός Περιβάλλοντος (</w:t>
      </w:r>
      <w:hyperlink r:id="rId43" w:history="1">
        <w:r w:rsidRPr="007E0B7F">
          <w:rPr>
            <w:rFonts w:ascii="Helvetica" w:eastAsia="Times New Roman" w:hAnsi="Helvetica" w:cs="Helvetica"/>
            <w:color w:val="3C77BD"/>
            <w:kern w:val="0"/>
            <w:sz w:val="21"/>
            <w:szCs w:val="21"/>
            <w:u w:val="single"/>
            <w:lang w:eastAsia="el-GR"/>
            <w14:ligatures w14:val="none"/>
          </w:rPr>
          <w:t>ΕΟΠ</w:t>
        </w:r>
      </w:hyperlink>
      <w:r w:rsidRPr="007E0B7F">
        <w:rPr>
          <w:rFonts w:ascii="Helvetica" w:eastAsia="Times New Roman" w:hAnsi="Helvetica" w:cs="Helvetica"/>
          <w:color w:val="1E1E1F"/>
          <w:kern w:val="0"/>
          <w:sz w:val="21"/>
          <w:szCs w:val="21"/>
          <w:lang w:eastAsia="el-GR"/>
          <w14:ligatures w14:val="none"/>
        </w:rPr>
        <w:t>) για να στηρίζει την εκπόνηση, εφαρμογή και αξιολόγηση της περιβαλλοντικής πολιτικής και για να ενημερώνει το ευρύ κοινό πάνω σε αυτό το θέμα. Το 2025 δημοσίευσε την </w:t>
      </w:r>
      <w:hyperlink r:id="rId44" w:history="1">
        <w:r w:rsidRPr="007E0B7F">
          <w:rPr>
            <w:rFonts w:ascii="Helvetica" w:eastAsia="Times New Roman" w:hAnsi="Helvetica" w:cs="Helvetica"/>
            <w:color w:val="3C77BD"/>
            <w:kern w:val="0"/>
            <w:sz w:val="21"/>
            <w:szCs w:val="21"/>
            <w:u w:val="single"/>
            <w:lang w:eastAsia="el-GR"/>
            <w14:ligatures w14:val="none"/>
          </w:rPr>
          <w:t>έβδομη έκθεση</w:t>
        </w:r>
      </w:hyperlink>
      <w:r w:rsidRPr="007E0B7F">
        <w:rPr>
          <w:rFonts w:ascii="Helvetica" w:eastAsia="Times New Roman" w:hAnsi="Helvetica" w:cs="Helvetica"/>
          <w:color w:val="1E1E1F"/>
          <w:kern w:val="0"/>
          <w:sz w:val="21"/>
          <w:szCs w:val="21"/>
          <w:lang w:eastAsia="el-GR"/>
          <w14:ligatures w14:val="none"/>
        </w:rPr>
        <w:t> σχετικά με την κατάσταση και τις προοπτικές του ευρωπαϊκού περιβάλλοντος.</w:t>
      </w:r>
    </w:p>
    <w:p w14:paraId="274F8A6E"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 xml:space="preserve">Όσον αφορά την παρακολούθηση, η ΕΕ διαχειρίζεται επίσης το ευρωπαϊκό πρόγραμμα </w:t>
      </w:r>
      <w:proofErr w:type="spellStart"/>
      <w:r w:rsidRPr="007E0B7F">
        <w:rPr>
          <w:rFonts w:ascii="Helvetica" w:eastAsia="Times New Roman" w:hAnsi="Helvetica" w:cs="Helvetica"/>
          <w:color w:val="1E1E1F"/>
          <w:kern w:val="0"/>
          <w:sz w:val="21"/>
          <w:szCs w:val="21"/>
          <w:lang w:eastAsia="el-GR"/>
          <w14:ligatures w14:val="none"/>
        </w:rPr>
        <w:t>γεωσκόπησης</w:t>
      </w:r>
      <w:proofErr w:type="spellEnd"/>
      <w:r w:rsidRPr="007E0B7F">
        <w:rPr>
          <w:rFonts w:ascii="Helvetica" w:eastAsia="Times New Roman" w:hAnsi="Helvetica" w:cs="Helvetica"/>
          <w:color w:val="1E1E1F"/>
          <w:kern w:val="0"/>
          <w:sz w:val="21"/>
          <w:szCs w:val="21"/>
          <w:lang w:eastAsia="el-GR"/>
          <w14:ligatures w14:val="none"/>
        </w:rPr>
        <w:t xml:space="preserve"> (</w:t>
      </w:r>
      <w:proofErr w:type="spellStart"/>
      <w:r w:rsidRPr="007E0B7F">
        <w:rPr>
          <w:rFonts w:ascii="Helvetica" w:eastAsia="Times New Roman" w:hAnsi="Helvetica" w:cs="Helvetica"/>
          <w:color w:val="1E1E1F"/>
          <w:kern w:val="0"/>
          <w:sz w:val="21"/>
          <w:szCs w:val="21"/>
          <w:lang w:eastAsia="el-GR"/>
          <w14:ligatures w14:val="none"/>
        </w:rPr>
        <w:fldChar w:fldCharType="begin"/>
      </w:r>
      <w:r w:rsidRPr="007E0B7F">
        <w:rPr>
          <w:rFonts w:ascii="Helvetica" w:eastAsia="Times New Roman" w:hAnsi="Helvetica" w:cs="Helvetica"/>
          <w:color w:val="1E1E1F"/>
          <w:kern w:val="0"/>
          <w:sz w:val="21"/>
          <w:szCs w:val="21"/>
          <w:lang w:eastAsia="el-GR"/>
          <w14:ligatures w14:val="none"/>
        </w:rPr>
        <w:instrText>HYPERLINK "https://www.copernicus.eu/el"</w:instrText>
      </w:r>
      <w:r w:rsidRPr="007E0B7F">
        <w:rPr>
          <w:rFonts w:ascii="Helvetica" w:eastAsia="Times New Roman" w:hAnsi="Helvetica" w:cs="Helvetica"/>
          <w:color w:val="1E1E1F"/>
          <w:kern w:val="0"/>
          <w:sz w:val="21"/>
          <w:szCs w:val="21"/>
          <w:lang w:eastAsia="el-GR"/>
          <w14:ligatures w14:val="none"/>
        </w:rPr>
      </w:r>
      <w:r w:rsidRPr="007E0B7F">
        <w:rPr>
          <w:rFonts w:ascii="Helvetica" w:eastAsia="Times New Roman" w:hAnsi="Helvetica" w:cs="Helvetica"/>
          <w:color w:val="1E1E1F"/>
          <w:kern w:val="0"/>
          <w:sz w:val="21"/>
          <w:szCs w:val="21"/>
          <w:lang w:eastAsia="el-GR"/>
          <w14:ligatures w14:val="none"/>
        </w:rPr>
        <w:fldChar w:fldCharType="separate"/>
      </w:r>
      <w:r w:rsidRPr="007E0B7F">
        <w:rPr>
          <w:rFonts w:ascii="Helvetica" w:eastAsia="Times New Roman" w:hAnsi="Helvetica" w:cs="Helvetica"/>
          <w:color w:val="3C77BD"/>
          <w:kern w:val="0"/>
          <w:sz w:val="21"/>
          <w:szCs w:val="21"/>
          <w:u w:val="single"/>
          <w:lang w:eastAsia="el-GR"/>
          <w14:ligatures w14:val="none"/>
        </w:rPr>
        <w:t>Copernicus</w:t>
      </w:r>
      <w:proofErr w:type="spellEnd"/>
      <w:r w:rsidRPr="007E0B7F">
        <w:rPr>
          <w:rFonts w:ascii="Helvetica" w:eastAsia="Times New Roman" w:hAnsi="Helvetica" w:cs="Helvetica"/>
          <w:color w:val="1E1E1F"/>
          <w:kern w:val="0"/>
          <w:sz w:val="21"/>
          <w:szCs w:val="21"/>
          <w:lang w:eastAsia="el-GR"/>
          <w14:ligatures w14:val="none"/>
        </w:rPr>
        <w:fldChar w:fldCharType="end"/>
      </w:r>
      <w:r w:rsidRPr="007E0B7F">
        <w:rPr>
          <w:rFonts w:ascii="Helvetica" w:eastAsia="Times New Roman" w:hAnsi="Helvetica" w:cs="Helvetica"/>
          <w:color w:val="1E1E1F"/>
          <w:kern w:val="0"/>
          <w:sz w:val="21"/>
          <w:szCs w:val="21"/>
          <w:lang w:eastAsia="el-GR"/>
          <w14:ligatures w14:val="none"/>
        </w:rPr>
        <w:t>), το οποίο παρέχει δορυφορικά δεδομένα περιβαλλοντικής παρατήρησης. Για τους ρύπους που εκλύονται στον αέρα, στο νερό και στο έδαφος, το Ευρωπαϊκό μητρώο έκλυσης και μεταφοράς ρύπων (</w:t>
      </w:r>
      <w:hyperlink r:id="rId45" w:history="1">
        <w:r w:rsidRPr="007E0B7F">
          <w:rPr>
            <w:rFonts w:ascii="Helvetica" w:eastAsia="Times New Roman" w:hAnsi="Helvetica" w:cs="Helvetica"/>
            <w:color w:val="3C77BD"/>
            <w:kern w:val="0"/>
            <w:sz w:val="21"/>
            <w:szCs w:val="21"/>
            <w:u w:val="single"/>
            <w:lang w:eastAsia="el-GR"/>
            <w14:ligatures w14:val="none"/>
          </w:rPr>
          <w:t>Ευρωπαϊκό ΜΕΜΡ</w:t>
        </w:r>
      </w:hyperlink>
      <w:r w:rsidRPr="007E0B7F">
        <w:rPr>
          <w:rFonts w:ascii="Helvetica" w:eastAsia="Times New Roman" w:hAnsi="Helvetica" w:cs="Helvetica"/>
          <w:color w:val="1E1E1F"/>
          <w:kern w:val="0"/>
          <w:sz w:val="21"/>
          <w:szCs w:val="21"/>
          <w:lang w:eastAsia="el-GR"/>
          <w14:ligatures w14:val="none"/>
        </w:rPr>
        <w:t xml:space="preserve">) παρέχει καίρια </w:t>
      </w:r>
      <w:r w:rsidRPr="007E0B7F">
        <w:rPr>
          <w:rFonts w:ascii="Helvetica" w:eastAsia="Times New Roman" w:hAnsi="Helvetica" w:cs="Helvetica"/>
          <w:color w:val="1E1E1F"/>
          <w:kern w:val="0"/>
          <w:sz w:val="21"/>
          <w:szCs w:val="21"/>
          <w:lang w:eastAsia="el-GR"/>
          <w14:ligatures w14:val="none"/>
        </w:rPr>
        <w:lastRenderedPageBreak/>
        <w:t>περιβαλλοντικά δεδομένα προερχόμενα από περισσότερες από 30 000 βιομηχανικές εγκαταστάσεις στην ΕΕ. Τα δεδομένα και από τα δύο προγράμματα έχουν ανοικτή πρόσβαση.</w:t>
      </w:r>
    </w:p>
    <w:p w14:paraId="317E5D0D" w14:textId="77777777" w:rsidR="007E0B7F" w:rsidRPr="007E0B7F" w:rsidRDefault="007E0B7F" w:rsidP="007E0B7F">
      <w:pPr>
        <w:shd w:val="clear" w:color="auto" w:fill="FFFFFF"/>
        <w:spacing w:after="100" w:afterAutospacing="1" w:line="288" w:lineRule="atLeast"/>
        <w:outlineLvl w:val="1"/>
        <w:rPr>
          <w:rFonts w:ascii="Georgia" w:eastAsia="Times New Roman" w:hAnsi="Georgia" w:cs="Helvetica"/>
          <w:color w:val="1E1E1F"/>
          <w:kern w:val="0"/>
          <w:sz w:val="36"/>
          <w:szCs w:val="36"/>
          <w:lang w:eastAsia="el-GR"/>
          <w14:ligatures w14:val="none"/>
        </w:rPr>
      </w:pPr>
      <w:r w:rsidRPr="007E0B7F">
        <w:rPr>
          <w:rFonts w:ascii="Georgia" w:eastAsia="Times New Roman" w:hAnsi="Georgia" w:cs="Helvetica"/>
          <w:color w:val="1E1E1F"/>
          <w:kern w:val="0"/>
          <w:sz w:val="36"/>
          <w:szCs w:val="36"/>
          <w:lang w:eastAsia="el-GR"/>
          <w14:ligatures w14:val="none"/>
        </w:rPr>
        <w:t>Ο ρόλος του Ευρωπαϊκού Κοινοβουλίου</w:t>
      </w:r>
    </w:p>
    <w:p w14:paraId="57C49350"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Το Κοινοβούλιο διαδραματίζει σημαντικό ρόλο στη διαμόρφωση της περιβαλλοντικής πολιτικής της ΕΕ από τη δημιουργία της το 1972. Κατά την όγδοη κοινοβουλευτική περίοδο (2014-2019), ασχολήθηκε με τη νομοθεσία που απορρέει από το σχέδιο δράσης για την κυκλική οικονομία (απόβλητα, μπαταρίες, οχήματα στο τέλος του κύκλου ζωής τους, υγειονομική ταφή, κ.λπ.), τα ζητήματα της κλιματικής αλλαγής (επικύρωση της συμφωνίας του Παρισιού, επιμερισμός των προσπαθειών, καταλογισμός των χρήσεων γης, των αλλαγών χρήσεων γης και της δασοκομίας στο πλαίσιο των σχετικών με την κλιματική αλλαγή δεσμεύσεων της Ένωσης, μεταρρύθμιση του συστήματος εμπορίας εκπομπών (ETS), κ.λπ.) και άλλα.</w:t>
      </w:r>
    </w:p>
    <w:p w14:paraId="2B544ADE"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Κατά τη διάρκεια της 9ης κοινοβουλευτικής περιόδου (2019-2024), το Κοινοβούλιο διαδραμάτισε καίριο ρόλο στη συζήτηση των προτάσεων που υπέβαλε η Επιτροπή στο πλαίσιο της Ευρωπαϊκής Πράσινης Συμφωνίας. Ειδικότερα, το Κοινοβούλιο συνέβαλε στη διαμόρφωση του ευρωπαϊκού νόμου για το κλίμα, που εγκρίθηκε το 2021, καθώς και της δέσμης μέτρων προσαρμογής στον στόχο του 55%, που εγκρίθηκε το 2023.</w:t>
      </w:r>
    </w:p>
    <w:p w14:paraId="5BC8E237"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Κατά την τρέχουσα δέκατη κοινοβουλευτική περίοδο (2024-2029), το Κοινοβούλιο, και ιδίως η Επιτροπή Περιβάλλοντος, Κλίματος και Ασφάλειας των Τροφίμων, συνεχίζει τις προσπάθειές του για να καταστεί η Ένωση πιο βιώσιμη, ανθεκτική στην κλιματική αλλαγή και καθαρή. Ειδικότερα, οι βουλευτές εργάζονται για την εφαρμογή και την υλοποίηση της Πράσινης Συμφωνίας για την ολοκλήρωση της δίκαιης και ισότιμης μετάβασης σε μια πιο πράσινη οικονομία και την αντιμετώπιση των συνεπειών της κλιματικής αλλαγής. Η εξασφάλιση ασφαλέστερων τροφίμων για όλους τους Ευρωπαίους βρίσκεται επίσης ψηλά στην ημερήσια διάταξη, όπως και οι πολιτικές που σχετίζονται με θέματα όπως η κυκλική οικονομία, η βιοποικιλότητα, η ποιότητα του αέρα, των υδάτων και του εδάφους και η χρήση χημικών ουσιών και φυτοφαρμάκων.</w:t>
      </w:r>
    </w:p>
    <w:p w14:paraId="449B4154"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Για περισσότερες πληροφορίες σχετικά με το θέμα αυτό, επισκεφθείτε τον </w:t>
      </w:r>
      <w:proofErr w:type="spellStart"/>
      <w:r w:rsidRPr="007E0B7F">
        <w:rPr>
          <w:rFonts w:ascii="Helvetica" w:eastAsia="Times New Roman" w:hAnsi="Helvetica" w:cs="Helvetica"/>
          <w:color w:val="1E1E1F"/>
          <w:kern w:val="0"/>
          <w:sz w:val="21"/>
          <w:szCs w:val="21"/>
          <w:lang w:eastAsia="el-GR"/>
          <w14:ligatures w14:val="none"/>
        </w:rPr>
        <w:fldChar w:fldCharType="begin"/>
      </w:r>
      <w:r w:rsidRPr="007E0B7F">
        <w:rPr>
          <w:rFonts w:ascii="Helvetica" w:eastAsia="Times New Roman" w:hAnsi="Helvetica" w:cs="Helvetica"/>
          <w:color w:val="1E1E1F"/>
          <w:kern w:val="0"/>
          <w:sz w:val="21"/>
          <w:szCs w:val="21"/>
          <w:lang w:eastAsia="el-GR"/>
          <w14:ligatures w14:val="none"/>
        </w:rPr>
        <w:instrText>HYPERLINK "https://www.europarl.europa.eu/committees/el/envi/home/highlights"</w:instrText>
      </w:r>
      <w:r w:rsidRPr="007E0B7F">
        <w:rPr>
          <w:rFonts w:ascii="Helvetica" w:eastAsia="Times New Roman" w:hAnsi="Helvetica" w:cs="Helvetica"/>
          <w:color w:val="1E1E1F"/>
          <w:kern w:val="0"/>
          <w:sz w:val="21"/>
          <w:szCs w:val="21"/>
          <w:lang w:eastAsia="el-GR"/>
          <w14:ligatures w14:val="none"/>
        </w:rPr>
      </w:r>
      <w:r w:rsidRPr="007E0B7F">
        <w:rPr>
          <w:rFonts w:ascii="Helvetica" w:eastAsia="Times New Roman" w:hAnsi="Helvetica" w:cs="Helvetica"/>
          <w:color w:val="1E1E1F"/>
          <w:kern w:val="0"/>
          <w:sz w:val="21"/>
          <w:szCs w:val="21"/>
          <w:lang w:eastAsia="el-GR"/>
          <w14:ligatures w14:val="none"/>
        </w:rPr>
        <w:fldChar w:fldCharType="separate"/>
      </w:r>
      <w:r w:rsidRPr="007E0B7F">
        <w:rPr>
          <w:rFonts w:ascii="Helvetica" w:eastAsia="Times New Roman" w:hAnsi="Helvetica" w:cs="Helvetica"/>
          <w:color w:val="3C77BD"/>
          <w:kern w:val="0"/>
          <w:sz w:val="21"/>
          <w:szCs w:val="21"/>
          <w:u w:val="single"/>
          <w:lang w:eastAsia="el-GR"/>
          <w14:ligatures w14:val="none"/>
        </w:rPr>
        <w:t>ιστότοπο</w:t>
      </w:r>
      <w:proofErr w:type="spellEnd"/>
      <w:r w:rsidRPr="007E0B7F">
        <w:rPr>
          <w:rFonts w:ascii="Helvetica" w:eastAsia="Times New Roman" w:hAnsi="Helvetica" w:cs="Helvetica"/>
          <w:color w:val="3C77BD"/>
          <w:kern w:val="0"/>
          <w:sz w:val="21"/>
          <w:szCs w:val="21"/>
          <w:u w:val="single"/>
          <w:lang w:eastAsia="el-GR"/>
          <w14:ligatures w14:val="none"/>
        </w:rPr>
        <w:t xml:space="preserve"> της Επιτροπής Περιβάλλοντος, Κλίματος και Ασφάλειας των Τροφίμων</w:t>
      </w:r>
      <w:r w:rsidRPr="007E0B7F">
        <w:rPr>
          <w:rFonts w:ascii="Helvetica" w:eastAsia="Times New Roman" w:hAnsi="Helvetica" w:cs="Helvetica"/>
          <w:color w:val="1E1E1F"/>
          <w:kern w:val="0"/>
          <w:sz w:val="21"/>
          <w:szCs w:val="21"/>
          <w:lang w:eastAsia="el-GR"/>
          <w14:ligatures w14:val="none"/>
        </w:rPr>
        <w:fldChar w:fldCharType="end"/>
      </w:r>
      <w:r w:rsidRPr="007E0B7F">
        <w:rPr>
          <w:rFonts w:ascii="Helvetica" w:eastAsia="Times New Roman" w:hAnsi="Helvetica" w:cs="Helvetica"/>
          <w:color w:val="1E1E1F"/>
          <w:kern w:val="0"/>
          <w:sz w:val="21"/>
          <w:szCs w:val="21"/>
          <w:lang w:eastAsia="el-GR"/>
          <w14:ligatures w14:val="none"/>
        </w:rPr>
        <w:t>.</w:t>
      </w:r>
    </w:p>
    <w:p w14:paraId="13261C32" w14:textId="77777777" w:rsidR="007E0B7F" w:rsidRPr="007E0B7F" w:rsidRDefault="007E0B7F" w:rsidP="007E0B7F">
      <w:pPr>
        <w:shd w:val="clear" w:color="auto" w:fill="FFFFFF"/>
        <w:spacing w:after="100" w:afterAutospacing="1" w:line="240" w:lineRule="auto"/>
        <w:rPr>
          <w:rFonts w:ascii="Helvetica" w:eastAsia="Times New Roman" w:hAnsi="Helvetica" w:cs="Helvetica"/>
          <w:color w:val="1E1E1F"/>
          <w:kern w:val="0"/>
          <w:sz w:val="21"/>
          <w:szCs w:val="21"/>
          <w:lang w:eastAsia="el-GR"/>
          <w14:ligatures w14:val="none"/>
        </w:rPr>
      </w:pPr>
      <w:r w:rsidRPr="007E0B7F">
        <w:rPr>
          <w:rFonts w:ascii="Helvetica" w:eastAsia="Times New Roman" w:hAnsi="Helvetica" w:cs="Helvetica"/>
          <w:color w:val="1E1E1F"/>
          <w:kern w:val="0"/>
          <w:sz w:val="21"/>
          <w:szCs w:val="21"/>
          <w:lang w:eastAsia="el-GR"/>
          <w14:ligatures w14:val="none"/>
        </w:rPr>
        <w:t> </w:t>
      </w:r>
    </w:p>
    <w:p w14:paraId="64FA6506" w14:textId="77777777" w:rsidR="007E0B7F" w:rsidRDefault="007E0B7F"/>
    <w:sectPr w:rsidR="007E0B7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17F6D"/>
    <w:multiLevelType w:val="multilevel"/>
    <w:tmpl w:val="9E6A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3328F7"/>
    <w:multiLevelType w:val="multilevel"/>
    <w:tmpl w:val="804A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1250A3"/>
    <w:multiLevelType w:val="multilevel"/>
    <w:tmpl w:val="8DEA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054061">
    <w:abstractNumId w:val="0"/>
  </w:num>
  <w:num w:numId="2" w16cid:durableId="1004164336">
    <w:abstractNumId w:val="2"/>
  </w:num>
  <w:num w:numId="3" w16cid:durableId="1117144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B7F"/>
    <w:rsid w:val="007E0B7F"/>
    <w:rsid w:val="009640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CE4AE"/>
  <w15:chartTrackingRefBased/>
  <w15:docId w15:val="{64298A25-687E-4EF0-95DA-5855788B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E0B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E0B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E0B7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E0B7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E0B7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E0B7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E0B7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E0B7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E0B7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0B7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E0B7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E0B7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E0B7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E0B7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E0B7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E0B7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E0B7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E0B7F"/>
    <w:rPr>
      <w:rFonts w:eastAsiaTheme="majorEastAsia" w:cstheme="majorBidi"/>
      <w:color w:val="272727" w:themeColor="text1" w:themeTint="D8"/>
    </w:rPr>
  </w:style>
  <w:style w:type="paragraph" w:styleId="a3">
    <w:name w:val="Title"/>
    <w:basedOn w:val="a"/>
    <w:next w:val="a"/>
    <w:link w:val="Char"/>
    <w:uiPriority w:val="10"/>
    <w:qFormat/>
    <w:rsid w:val="007E0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E0B7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E0B7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E0B7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E0B7F"/>
    <w:pPr>
      <w:spacing w:before="160"/>
      <w:jc w:val="center"/>
    </w:pPr>
    <w:rPr>
      <w:i/>
      <w:iCs/>
      <w:color w:val="404040" w:themeColor="text1" w:themeTint="BF"/>
    </w:rPr>
  </w:style>
  <w:style w:type="character" w:customStyle="1" w:styleId="Char1">
    <w:name w:val="Απόσπασμα Char"/>
    <w:basedOn w:val="a0"/>
    <w:link w:val="a5"/>
    <w:uiPriority w:val="29"/>
    <w:rsid w:val="007E0B7F"/>
    <w:rPr>
      <w:i/>
      <w:iCs/>
      <w:color w:val="404040" w:themeColor="text1" w:themeTint="BF"/>
    </w:rPr>
  </w:style>
  <w:style w:type="paragraph" w:styleId="a6">
    <w:name w:val="List Paragraph"/>
    <w:basedOn w:val="a"/>
    <w:uiPriority w:val="34"/>
    <w:qFormat/>
    <w:rsid w:val="007E0B7F"/>
    <w:pPr>
      <w:ind w:left="720"/>
      <w:contextualSpacing/>
    </w:pPr>
  </w:style>
  <w:style w:type="character" w:styleId="a7">
    <w:name w:val="Intense Emphasis"/>
    <w:basedOn w:val="a0"/>
    <w:uiPriority w:val="21"/>
    <w:qFormat/>
    <w:rsid w:val="007E0B7F"/>
    <w:rPr>
      <w:i/>
      <w:iCs/>
      <w:color w:val="2F5496" w:themeColor="accent1" w:themeShade="BF"/>
    </w:rPr>
  </w:style>
  <w:style w:type="paragraph" w:styleId="a8">
    <w:name w:val="Intense Quote"/>
    <w:basedOn w:val="a"/>
    <w:next w:val="a"/>
    <w:link w:val="Char2"/>
    <w:uiPriority w:val="30"/>
    <w:qFormat/>
    <w:rsid w:val="007E0B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E0B7F"/>
    <w:rPr>
      <w:i/>
      <w:iCs/>
      <w:color w:val="2F5496" w:themeColor="accent1" w:themeShade="BF"/>
    </w:rPr>
  </w:style>
  <w:style w:type="character" w:styleId="a9">
    <w:name w:val="Intense Reference"/>
    <w:basedOn w:val="a0"/>
    <w:uiPriority w:val="32"/>
    <w:qFormat/>
    <w:rsid w:val="007E0B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L/TXT/PDF/?uri=CELEX:11997D/TXT" TargetMode="External"/><Relationship Id="rId18" Type="http://schemas.openxmlformats.org/officeDocument/2006/relationships/hyperlink" Target="https://eur-lex.europa.eu/legal-content/EL/TXT/?uri=COM:2016:739:FIN" TargetMode="External"/><Relationship Id="rId26" Type="http://schemas.openxmlformats.org/officeDocument/2006/relationships/hyperlink" Target="https://food.ec.europa.eu/horizontal-topics/farm-fork-strategy_el" TargetMode="External"/><Relationship Id="rId39" Type="http://schemas.openxmlformats.org/officeDocument/2006/relationships/hyperlink" Target="https://eur-lex.europa.eu/legal-content/EL/TXT/?uri=celex:32003L0035" TargetMode="External"/><Relationship Id="rId21" Type="http://schemas.openxmlformats.org/officeDocument/2006/relationships/hyperlink" Target="https://commission.europa.eu/strategy-and-policy/priorities-2019-2024/european-green-deal/delivering-european-green-deal/fit-55-delivering-proposals_el" TargetMode="External"/><Relationship Id="rId34" Type="http://schemas.openxmlformats.org/officeDocument/2006/relationships/hyperlink" Target="https://www.cbd.int/gbf" TargetMode="External"/><Relationship Id="rId42" Type="http://schemas.openxmlformats.org/officeDocument/2006/relationships/hyperlink" Target="https://environment.ec.europa.eu/law-and-governance/environmental-implementation-review_en" TargetMode="External"/><Relationship Id="rId47" Type="http://schemas.openxmlformats.org/officeDocument/2006/relationships/theme" Target="theme/theme1.xml"/><Relationship Id="rId7" Type="http://schemas.openxmlformats.org/officeDocument/2006/relationships/hyperlink" Target="https://sustainabledevelopment.un.org/content/documents/Agenda21.pdf?_gl=1*13bdndj*_ga*MTMxNDY4Nzc2NC4xNzA5NzMxMTI5*_ga_TK9BQL5X7Z*MTcxMDc0OTMyMy40LjEuMTcxMDc1MDcyMy4wLjAuMA.." TargetMode="External"/><Relationship Id="rId2" Type="http://schemas.openxmlformats.org/officeDocument/2006/relationships/styles" Target="styles.xml"/><Relationship Id="rId16" Type="http://schemas.openxmlformats.org/officeDocument/2006/relationships/hyperlink" Target="https://eur-lex.europa.eu/legal-content/EL/TXT/?uri=CELEX:02004L0035-20190626" TargetMode="External"/><Relationship Id="rId29" Type="http://schemas.openxmlformats.org/officeDocument/2006/relationships/hyperlink" Target="https://eur-lex.europa.eu/legal-content/EL/TXT/?uri=CELEX:32025L1892&amp;qid=1760531838376" TargetMode="External"/><Relationship Id="rId1" Type="http://schemas.openxmlformats.org/officeDocument/2006/relationships/numbering" Target="numbering.xml"/><Relationship Id="rId6" Type="http://schemas.openxmlformats.org/officeDocument/2006/relationships/hyperlink" Target="http://undocs.org/en/A/CONF.48/14/Rev.1" TargetMode="External"/><Relationship Id="rId11" Type="http://schemas.openxmlformats.org/officeDocument/2006/relationships/hyperlink" Target="https://eur-lex.europa.eu/legal-content/EL/TXT/PDF/?uri=CELEX:11986U/TXT" TargetMode="External"/><Relationship Id="rId24" Type="http://schemas.openxmlformats.org/officeDocument/2006/relationships/hyperlink" Target="https://dopa.jrc.ec.europa.eu/kcbd/actions-tracker/" TargetMode="External"/><Relationship Id="rId32" Type="http://schemas.openxmlformats.org/officeDocument/2006/relationships/hyperlink" Target="https://www.undrr.org/publication/sendai-framework-disaster-risk-reduction-2015-2030" TargetMode="External"/><Relationship Id="rId37" Type="http://schemas.openxmlformats.org/officeDocument/2006/relationships/hyperlink" Target="https://unece.org/DAM/env/pp/documents/cep43e.pdf" TargetMode="External"/><Relationship Id="rId40" Type="http://schemas.openxmlformats.org/officeDocument/2006/relationships/hyperlink" Target="https://eur-lex.europa.eu/legal-content/EL/TXT/?uri=CELEX:32024L1203" TargetMode="External"/><Relationship Id="rId45" Type="http://schemas.openxmlformats.org/officeDocument/2006/relationships/hyperlink" Target="https://www.eea.europa.eu/data-and-maps/data/member-states-reporting-art-7-under-the-european-pollutant-release-and-transfer-register-e-prtr-regulation-23/european-pollutant-release-and-transfer-register-e-prtr-data-base" TargetMode="External"/><Relationship Id="rId5" Type="http://schemas.openxmlformats.org/officeDocument/2006/relationships/hyperlink" Target="https://eur-lex.europa.eu/LexUriServ/LexUriServ.do?uri=CELEX:12012E/TXT:el:PDF" TargetMode="External"/><Relationship Id="rId15" Type="http://schemas.openxmlformats.org/officeDocument/2006/relationships/hyperlink" Target="https://eur-lex.europa.eu/EL/legal-content/glossary/precautionary-principle.html" TargetMode="External"/><Relationship Id="rId23" Type="http://schemas.openxmlformats.org/officeDocument/2006/relationships/hyperlink" Target="https://ec.europa.eu/environment/strategy/biodiversity-strategy-2030_en" TargetMode="External"/><Relationship Id="rId28" Type="http://schemas.openxmlformats.org/officeDocument/2006/relationships/hyperlink" Target="https://eur-lex.europa.eu/legal-content/EL/TXT/?uri=CELEX:02008L0098-20240218" TargetMode="External"/><Relationship Id="rId36" Type="http://schemas.openxmlformats.org/officeDocument/2006/relationships/hyperlink" Target="https://eur-lex.europa.eu/legal-content/EL/ALL/?uri=CELEX%3A32001L0042" TargetMode="External"/><Relationship Id="rId10" Type="http://schemas.openxmlformats.org/officeDocument/2006/relationships/hyperlink" Target="https://www.cbd.int/doc/legal/cbd-en.pdf" TargetMode="External"/><Relationship Id="rId19" Type="http://schemas.openxmlformats.org/officeDocument/2006/relationships/hyperlink" Target="https://commission.europa.eu/strategy-and-policy/priorities-2019-2024/european-green-deal_el" TargetMode="External"/><Relationship Id="rId31" Type="http://schemas.openxmlformats.org/officeDocument/2006/relationships/hyperlink" Target="https://unfccc.int/process-and-meetings/the-paris-agreement?gad_source=1&amp;gclid=EAIaIQobChMItKXlvaOyhQMVdkJBAh2XBghkEAAYASAAEgIKIfD_BwE" TargetMode="External"/><Relationship Id="rId44" Type="http://schemas.openxmlformats.org/officeDocument/2006/relationships/hyperlink" Target="https://www.eea.europa.eu/en/europe-environment-2025" TargetMode="External"/><Relationship Id="rId4" Type="http://schemas.openxmlformats.org/officeDocument/2006/relationships/webSettings" Target="webSettings.xml"/><Relationship Id="rId9" Type="http://schemas.openxmlformats.org/officeDocument/2006/relationships/hyperlink" Target="https://unfccc.int/files/essential_background/background_publications_htmlpdf/application/pdf/conveng.pdf" TargetMode="External"/><Relationship Id="rId14" Type="http://schemas.openxmlformats.org/officeDocument/2006/relationships/hyperlink" Target="https://eur-lex.europa.eu/legal-content/EL/TXT/?uri=CELEX%3A12007L%2FTXT" TargetMode="External"/><Relationship Id="rId22" Type="http://schemas.openxmlformats.org/officeDocument/2006/relationships/hyperlink" Target="https://commission.europa.eu/topics/eu-competitiveness/clean-industrial-deal_el" TargetMode="External"/><Relationship Id="rId27" Type="http://schemas.openxmlformats.org/officeDocument/2006/relationships/hyperlink" Target="https://agriculture.ec.europa.eu/overview-vision-agriculture-food/vision-agriculture-and-food_el" TargetMode="External"/><Relationship Id="rId30" Type="http://schemas.openxmlformats.org/officeDocument/2006/relationships/hyperlink" Target="https://sdgs.un.org/2030agenda" TargetMode="External"/><Relationship Id="rId35" Type="http://schemas.openxmlformats.org/officeDocument/2006/relationships/hyperlink" Target="https://eur-lex.europa.eu/legal-content/EL/TXT/?uri=CELEX%3A32014L0052" TargetMode="External"/><Relationship Id="rId43" Type="http://schemas.openxmlformats.org/officeDocument/2006/relationships/hyperlink" Target="http://www.eea.europa.eu/" TargetMode="External"/><Relationship Id="rId8" Type="http://schemas.openxmlformats.org/officeDocument/2006/relationships/hyperlink" Target="https://www.un.org/en/development/desa/population/migration/generalassembly/docs/globalcompact/A_CONF.151_26_Vol.I_Declaration.pdf" TargetMode="External"/><Relationship Id="rId3" Type="http://schemas.openxmlformats.org/officeDocument/2006/relationships/settings" Target="settings.xml"/><Relationship Id="rId12" Type="http://schemas.openxmlformats.org/officeDocument/2006/relationships/hyperlink" Target="https://eur-lex.europa.eu/legal-content/EL/TXT/PDF/?uri=CELEX:11992M/TXT" TargetMode="External"/><Relationship Id="rId17" Type="http://schemas.openxmlformats.org/officeDocument/2006/relationships/hyperlink" Target="https://ec.europa.eu/environment/strategy/environment-action-programme-2030_en" TargetMode="External"/><Relationship Id="rId25" Type="http://schemas.openxmlformats.org/officeDocument/2006/relationships/hyperlink" Target="https://eur-lex.europa.eu/eli/reg/2024/1991/oj/" TargetMode="External"/><Relationship Id="rId33" Type="http://schemas.openxmlformats.org/officeDocument/2006/relationships/hyperlink" Target="https://cites.org/eng/disc/text.php" TargetMode="External"/><Relationship Id="rId38" Type="http://schemas.openxmlformats.org/officeDocument/2006/relationships/hyperlink" Target="https://eur-lex.europa.eu/legal-content/EL/TXT/?uri=celex:32003L0004" TargetMode="External"/><Relationship Id="rId46" Type="http://schemas.openxmlformats.org/officeDocument/2006/relationships/fontTable" Target="fontTable.xml"/><Relationship Id="rId20" Type="http://schemas.openxmlformats.org/officeDocument/2006/relationships/hyperlink" Target="https://climate.ec.europa.eu/eu-action/european-climate-law_en" TargetMode="External"/><Relationship Id="rId41" Type="http://schemas.openxmlformats.org/officeDocument/2006/relationships/hyperlink" Target="https://www.impel.eu/e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3404</Words>
  <Characters>18385</Characters>
  <Application>Microsoft Office Word</Application>
  <DocSecurity>0</DocSecurity>
  <Lines>153</Lines>
  <Paragraphs>43</Paragraphs>
  <ScaleCrop>false</ScaleCrop>
  <Company/>
  <LinksUpToDate>false</LinksUpToDate>
  <CharactersWithSpaces>21746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spiros soueref</dc:creator>
  <cp:keywords/>
  <dc:description/>
  <cp:lastModifiedBy>spiros soueref</cp:lastModifiedBy>
  <cp:revision>1</cp:revision>
  <dcterms:created xsi:type="dcterms:W3CDTF">2026-04-30T12:29:00Z</dcterms:created>
  <dcterms:modified xsi:type="dcterms:W3CDTF">2026-04-30T12:31:00Z</dcterms:modified>
</cp:coreProperties>
</file>